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87921">
      <w:pPr>
        <w:spacing w:after="100" w:afterAutospacing="1" w:line="360" w:lineRule="auto"/>
        <w:jc w:val="center"/>
        <w:outlineLvl w:val="0"/>
        <w:rPr>
          <w:rFonts w:hint="eastAsia" w:ascii="宋体" w:hAnsi="宋体" w:cs="宋体"/>
          <w:b/>
          <w:sz w:val="44"/>
          <w:szCs w:val="44"/>
        </w:rPr>
      </w:pPr>
      <w:bookmarkStart w:id="1" w:name="_GoBack"/>
      <w:bookmarkEnd w:id="1"/>
      <w:bookmarkStart w:id="0" w:name="_Toc14804"/>
      <w:r>
        <w:rPr>
          <w:rFonts w:hint="eastAsia" w:ascii="宋体" w:hAnsi="宋体" w:cs="宋体"/>
          <w:b/>
          <w:sz w:val="44"/>
          <w:szCs w:val="44"/>
        </w:rPr>
        <w:t>采购需求</w:t>
      </w:r>
      <w:bookmarkEnd w:id="0"/>
    </w:p>
    <w:p w14:paraId="0D7BD849">
      <w:pPr>
        <w:snapToGrid w:val="0"/>
        <w:spacing w:line="360" w:lineRule="auto"/>
        <w:rPr>
          <w:rFonts w:hint="eastAsia" w:ascii="楷体" w:hAnsi="楷体" w:eastAsia="楷体" w:cs="楷体"/>
          <w:b/>
          <w:bCs/>
          <w:szCs w:val="21"/>
        </w:rPr>
      </w:pPr>
    </w:p>
    <w:tbl>
      <w:tblPr>
        <w:tblStyle w:val="5"/>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6"/>
        <w:gridCol w:w="7696"/>
      </w:tblGrid>
      <w:tr w14:paraId="6C195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826" w:type="dxa"/>
          </w:tcPr>
          <w:p w14:paraId="63250E35">
            <w:pPr>
              <w:spacing w:line="360" w:lineRule="auto"/>
              <w:rPr>
                <w:rFonts w:hint="eastAsia" w:ascii="楷体" w:hAnsi="楷体" w:eastAsia="楷体" w:cs="楷体"/>
                <w:b/>
                <w:bCs/>
                <w:szCs w:val="21"/>
              </w:rPr>
            </w:pPr>
            <w:r>
              <w:rPr>
                <w:rFonts w:hint="eastAsia" w:ascii="楷体" w:hAnsi="楷体" w:eastAsia="楷体" w:cs="楷体"/>
                <w:b/>
                <w:bCs/>
                <w:szCs w:val="21"/>
              </w:rPr>
              <w:t>说明：</w:t>
            </w:r>
          </w:p>
          <w:p w14:paraId="1F9EEF1B">
            <w:pPr>
              <w:spacing w:line="360" w:lineRule="auto"/>
              <w:rPr>
                <w:rFonts w:hint="eastAsia" w:ascii="楷体" w:hAnsi="楷体" w:eastAsia="楷体" w:cs="楷体"/>
                <w:b/>
                <w:bCs/>
                <w:szCs w:val="21"/>
              </w:rPr>
            </w:pPr>
          </w:p>
        </w:tc>
        <w:tc>
          <w:tcPr>
            <w:tcW w:w="7696" w:type="dxa"/>
          </w:tcPr>
          <w:p w14:paraId="2F47AF35">
            <w:pPr>
              <w:spacing w:line="360" w:lineRule="auto"/>
              <w:rPr>
                <w:rFonts w:hint="eastAsia" w:ascii="楷体" w:hAnsi="楷体" w:eastAsia="楷体" w:cs="楷体"/>
                <w:b/>
                <w:bCs/>
                <w:szCs w:val="21"/>
              </w:rPr>
            </w:pPr>
            <w:r>
              <w:rPr>
                <w:rFonts w:hint="eastAsia" w:ascii="楷体" w:hAnsi="楷体" w:eastAsia="楷体" w:cs="楷体"/>
                <w:b/>
                <w:bCs/>
                <w:szCs w:val="21"/>
              </w:rPr>
              <w:t>（1）标有“★”的条款为实质性响应条款，供应商如有任何一条未完全响应，则将导致其响应无效。</w:t>
            </w:r>
          </w:p>
        </w:tc>
      </w:tr>
      <w:tr w14:paraId="49C5B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826" w:type="dxa"/>
          </w:tcPr>
          <w:p w14:paraId="23A8F6FD">
            <w:pPr>
              <w:spacing w:line="360" w:lineRule="auto"/>
              <w:rPr>
                <w:rFonts w:hint="eastAsia" w:ascii="楷体" w:hAnsi="楷体" w:eastAsia="楷体" w:cs="楷体"/>
                <w:b/>
                <w:bCs/>
                <w:szCs w:val="21"/>
              </w:rPr>
            </w:pPr>
          </w:p>
        </w:tc>
        <w:tc>
          <w:tcPr>
            <w:tcW w:w="7696" w:type="dxa"/>
          </w:tcPr>
          <w:p w14:paraId="24180D5F">
            <w:pPr>
              <w:spacing w:line="360" w:lineRule="auto"/>
              <w:rPr>
                <w:rFonts w:hint="eastAsia" w:ascii="楷体" w:hAnsi="楷体" w:eastAsia="楷体" w:cs="楷体"/>
                <w:b/>
                <w:bCs/>
                <w:szCs w:val="21"/>
              </w:rPr>
            </w:pPr>
            <w:r>
              <w:rPr>
                <w:rFonts w:hint="eastAsia" w:ascii="楷体" w:hAnsi="楷体" w:eastAsia="楷体" w:cs="楷体"/>
                <w:b/>
                <w:bCs/>
                <w:szCs w:val="21"/>
              </w:rPr>
              <w:t>（2）标有“▲”的条款为重要条款，如不满足将被严重扣分。</w:t>
            </w:r>
          </w:p>
        </w:tc>
      </w:tr>
    </w:tbl>
    <w:p w14:paraId="41214A5D">
      <w:pPr>
        <w:spacing w:line="360" w:lineRule="auto"/>
        <w:rPr>
          <w:rFonts w:hint="eastAsia" w:ascii="仿宋" w:hAnsi="仿宋" w:eastAsia="仿宋" w:cs="仿宋"/>
          <w:b/>
          <w:bCs/>
          <w:sz w:val="24"/>
        </w:rPr>
      </w:pPr>
    </w:p>
    <w:tbl>
      <w:tblPr>
        <w:tblStyle w:val="4"/>
        <w:tblW w:w="84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7484"/>
      </w:tblGrid>
      <w:tr w14:paraId="48B5B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50133A4A">
            <w:pPr>
              <w:widowControl w:val="0"/>
              <w:numPr>
                <w:ilvl w:val="0"/>
                <w:numId w:val="0"/>
              </w:numPr>
              <w:ind w:left="0" w:leftChars="0" w:firstLine="0" w:firstLineChars="0"/>
              <w:jc w:val="both"/>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1.</w:t>
            </w:r>
          </w:p>
        </w:tc>
        <w:tc>
          <w:tcPr>
            <w:tcW w:w="7484" w:type="dxa"/>
            <w:tcBorders>
              <w:top w:val="nil"/>
              <w:left w:val="nil"/>
              <w:bottom w:val="nil"/>
              <w:right w:val="nil"/>
            </w:tcBorders>
            <w:vAlign w:val="top"/>
          </w:tcPr>
          <w:p w14:paraId="4452EB57">
            <w:pPr>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rPr>
              <w:t>项目名称：</w:t>
            </w:r>
            <w:r>
              <w:rPr>
                <w:rFonts w:hint="eastAsia" w:ascii="仿宋" w:hAnsi="仿宋" w:eastAsia="仿宋" w:cs="仿宋"/>
                <w:color w:val="auto"/>
                <w:sz w:val="28"/>
                <w:szCs w:val="28"/>
                <w:highlight w:val="none"/>
                <w:lang w:eastAsia="zh-CN"/>
              </w:rPr>
              <w:t>广东省足球运动中心食堂服务项目</w:t>
            </w:r>
          </w:p>
        </w:tc>
      </w:tr>
      <w:tr w14:paraId="3B734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063C5370">
            <w:pPr>
              <w:widowControl w:val="0"/>
              <w:numPr>
                <w:ilvl w:val="0"/>
                <w:numId w:val="0"/>
              </w:numPr>
              <w:ind w:left="0" w:leftChars="0" w:firstLine="0" w:firstLineChars="0"/>
              <w:jc w:val="both"/>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2</w:t>
            </w:r>
            <w:r>
              <w:rPr>
                <w:rFonts w:hint="eastAsia" w:ascii="黑体" w:hAnsi="黑体" w:eastAsia="黑体" w:cs="黑体"/>
                <w:b/>
                <w:bCs/>
                <w:color w:val="auto"/>
                <w:sz w:val="28"/>
                <w:szCs w:val="28"/>
                <w:highlight w:val="none"/>
              </w:rPr>
              <w:t>.</w:t>
            </w:r>
          </w:p>
        </w:tc>
        <w:tc>
          <w:tcPr>
            <w:tcW w:w="7484" w:type="dxa"/>
            <w:tcBorders>
              <w:top w:val="nil"/>
              <w:left w:val="nil"/>
              <w:bottom w:val="nil"/>
              <w:right w:val="nil"/>
            </w:tcBorders>
            <w:vAlign w:val="top"/>
          </w:tcPr>
          <w:p w14:paraId="3A10BDB8">
            <w:pPr>
              <w:tabs>
                <w:tab w:val="left" w:pos="5966"/>
              </w:tabs>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rPr>
              <w:t>预算</w:t>
            </w:r>
            <w:r>
              <w:rPr>
                <w:rFonts w:hint="eastAsia" w:ascii="黑体" w:hAnsi="黑体" w:eastAsia="黑体" w:cs="黑体"/>
                <w:b/>
                <w:bCs/>
                <w:color w:val="auto"/>
                <w:sz w:val="28"/>
                <w:szCs w:val="28"/>
                <w:highlight w:val="none"/>
                <w:lang w:val="en-US" w:eastAsia="zh-CN"/>
              </w:rPr>
              <w:t>金额</w:t>
            </w:r>
            <w:r>
              <w:rPr>
                <w:rFonts w:hint="eastAsia" w:ascii="黑体" w:hAnsi="黑体" w:eastAsia="黑体" w:cs="黑体"/>
                <w:b/>
                <w:bCs/>
                <w:color w:val="auto"/>
                <w:sz w:val="28"/>
                <w:szCs w:val="28"/>
                <w:highlight w:val="none"/>
              </w:rPr>
              <w:t>：</w:t>
            </w:r>
            <w:r>
              <w:rPr>
                <w:rFonts w:hint="eastAsia" w:ascii="仿宋" w:hAnsi="仿宋" w:eastAsia="仿宋" w:cs="仿宋"/>
                <w:color w:val="auto"/>
                <w:sz w:val="28"/>
                <w:szCs w:val="28"/>
                <w:highlight w:val="none"/>
                <w:lang w:eastAsia="zh-CN"/>
              </w:rPr>
              <w:t>人民币</w:t>
            </w:r>
            <w:r>
              <w:rPr>
                <w:rFonts w:hint="eastAsia" w:ascii="仿宋" w:hAnsi="仿宋" w:eastAsia="仿宋" w:cs="仿宋"/>
                <w:color w:val="auto"/>
                <w:sz w:val="28"/>
                <w:szCs w:val="28"/>
                <w:highlight w:val="none"/>
                <w:lang w:val="en-US" w:eastAsia="zh-CN"/>
              </w:rPr>
              <w:t>62</w:t>
            </w:r>
            <w:r>
              <w:rPr>
                <w:rFonts w:hint="eastAsia" w:ascii="仿宋" w:hAnsi="仿宋" w:eastAsia="仿宋" w:cs="仿宋"/>
                <w:color w:val="auto"/>
                <w:sz w:val="28"/>
                <w:szCs w:val="28"/>
                <w:highlight w:val="none"/>
                <w:lang w:eastAsia="zh-CN"/>
              </w:rPr>
              <w:t>万元</w:t>
            </w:r>
          </w:p>
        </w:tc>
      </w:tr>
      <w:tr w14:paraId="1800D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780DDC73">
            <w:pPr>
              <w:widowControl w:val="0"/>
              <w:numPr>
                <w:ilvl w:val="0"/>
                <w:numId w:val="0"/>
              </w:numPr>
              <w:ind w:left="0" w:leftChars="0" w:firstLine="0" w:firstLineChars="0"/>
              <w:jc w:val="both"/>
              <w:rPr>
                <w:rFonts w:hint="eastAsia" w:ascii="黑体" w:hAnsi="黑体" w:eastAsia="黑体" w:cs="黑体"/>
                <w:b/>
                <w:bCs/>
                <w:color w:val="00B050"/>
                <w:sz w:val="28"/>
                <w:szCs w:val="28"/>
                <w:highlight w:val="none"/>
                <w:lang w:val="en-US" w:eastAsia="zh-CN"/>
              </w:rPr>
            </w:pPr>
            <w:r>
              <w:rPr>
                <w:rFonts w:hint="eastAsia" w:ascii="黑体" w:hAnsi="黑体" w:eastAsia="黑体" w:cs="黑体"/>
                <w:b/>
                <w:bCs/>
                <w:sz w:val="28"/>
                <w:szCs w:val="28"/>
                <w:highlight w:val="none"/>
                <w:lang w:val="en-US" w:eastAsia="zh-CN"/>
              </w:rPr>
              <w:t>3</w:t>
            </w:r>
            <w:r>
              <w:rPr>
                <w:rFonts w:hint="eastAsia" w:ascii="黑体" w:hAnsi="黑体" w:eastAsia="黑体" w:cs="黑体"/>
                <w:b/>
                <w:bCs/>
                <w:sz w:val="28"/>
                <w:szCs w:val="28"/>
                <w:highlight w:val="none"/>
              </w:rPr>
              <w:t>.</w:t>
            </w:r>
          </w:p>
        </w:tc>
        <w:tc>
          <w:tcPr>
            <w:tcW w:w="7484" w:type="dxa"/>
            <w:tcBorders>
              <w:top w:val="nil"/>
              <w:left w:val="nil"/>
              <w:bottom w:val="nil"/>
              <w:right w:val="nil"/>
            </w:tcBorders>
            <w:vAlign w:val="top"/>
          </w:tcPr>
          <w:p w14:paraId="1F8A2345">
            <w:pPr>
              <w:rPr>
                <w:rFonts w:hint="eastAsia" w:ascii="黑体" w:hAnsi="黑体" w:eastAsia="黑体" w:cs="黑体"/>
                <w:b/>
                <w:bCs/>
                <w:color w:val="00B050"/>
                <w:sz w:val="28"/>
                <w:szCs w:val="28"/>
                <w:highlight w:val="none"/>
                <w:lang w:val="en-US" w:eastAsia="zh-CN"/>
              </w:rPr>
            </w:pPr>
            <w:r>
              <w:rPr>
                <w:rFonts w:hint="eastAsia" w:ascii="黑体" w:hAnsi="黑体" w:eastAsia="黑体" w:cs="黑体"/>
                <w:b/>
                <w:bCs/>
                <w:sz w:val="28"/>
                <w:szCs w:val="28"/>
                <w:highlight w:val="none"/>
              </w:rPr>
              <w:t>采购内容</w:t>
            </w:r>
          </w:p>
        </w:tc>
      </w:tr>
      <w:tr w14:paraId="01EAE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4" w:type="dxa"/>
            <w:gridSpan w:val="2"/>
            <w:tcBorders>
              <w:top w:val="nil"/>
              <w:left w:val="nil"/>
              <w:bottom w:val="nil"/>
              <w:right w:val="nil"/>
            </w:tcBorders>
            <w:vAlign w:val="center"/>
          </w:tcPr>
          <w:p w14:paraId="15B27DA1">
            <w:pPr>
              <w:jc w:val="both"/>
              <w:rPr>
                <w:rFonts w:hint="eastAsia" w:ascii="黑体" w:hAnsi="黑体" w:eastAsia="黑体" w:cs="黑体"/>
                <w:b/>
                <w:bCs/>
                <w:color w:val="00B050"/>
                <w:sz w:val="24"/>
                <w:szCs w:val="24"/>
                <w:highlight w:val="none"/>
                <w:lang w:val="en-US" w:eastAsia="zh-CN"/>
              </w:rPr>
            </w:pPr>
          </w:p>
          <w:tbl>
            <w:tblPr>
              <w:tblStyle w:val="5"/>
              <w:tblW w:w="8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2"/>
              <w:gridCol w:w="1207"/>
              <w:gridCol w:w="822"/>
              <w:gridCol w:w="2362"/>
            </w:tblGrid>
            <w:tr w14:paraId="12CB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2" w:type="dxa"/>
                  <w:shd w:val="clear" w:color="auto" w:fill="D7D7D7" w:themeFill="background1" w:themeFillShade="D8"/>
                  <w:vAlign w:val="center"/>
                </w:tcPr>
                <w:p w14:paraId="0B5FBAF1">
                  <w:pPr>
                    <w:spacing w:line="24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rPr>
                    <w:t>采购</w:t>
                  </w:r>
                  <w:r>
                    <w:rPr>
                      <w:rFonts w:hint="eastAsia" w:ascii="仿宋" w:hAnsi="仿宋" w:eastAsia="仿宋" w:cs="仿宋"/>
                      <w:b/>
                      <w:bCs/>
                      <w:sz w:val="24"/>
                      <w:szCs w:val="24"/>
                      <w:lang w:val="en-US" w:eastAsia="zh-CN"/>
                    </w:rPr>
                    <w:t>内容</w:t>
                  </w:r>
                </w:p>
              </w:tc>
              <w:tc>
                <w:tcPr>
                  <w:tcW w:w="1207" w:type="dxa"/>
                  <w:shd w:val="clear" w:color="auto" w:fill="D7D7D7" w:themeFill="background1" w:themeFillShade="D8"/>
                  <w:vAlign w:val="center"/>
                </w:tcPr>
                <w:p w14:paraId="54BDD220">
                  <w:pPr>
                    <w:spacing w:line="240" w:lineRule="auto"/>
                    <w:jc w:val="center"/>
                    <w:rPr>
                      <w:rFonts w:hint="eastAsia" w:ascii="仿宋" w:hAnsi="仿宋" w:eastAsia="仿宋" w:cs="仿宋"/>
                      <w:b/>
                      <w:bCs/>
                      <w:sz w:val="24"/>
                      <w:szCs w:val="24"/>
                    </w:rPr>
                  </w:pPr>
                  <w:r>
                    <w:rPr>
                      <w:rFonts w:hint="eastAsia" w:ascii="仿宋" w:hAnsi="仿宋" w:eastAsia="仿宋" w:cs="仿宋"/>
                      <w:b/>
                      <w:bCs/>
                      <w:sz w:val="24"/>
                      <w:szCs w:val="24"/>
                    </w:rPr>
                    <w:t>数量</w:t>
                  </w:r>
                </w:p>
                <w:p w14:paraId="76A92A0A">
                  <w:pPr>
                    <w:spacing w:line="240" w:lineRule="auto"/>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rPr>
                    <w:t>（单位）</w:t>
                  </w:r>
                </w:p>
              </w:tc>
              <w:tc>
                <w:tcPr>
                  <w:tcW w:w="822" w:type="dxa"/>
                  <w:shd w:val="clear" w:color="auto" w:fill="D7D7D7" w:themeFill="background1" w:themeFillShade="D8"/>
                  <w:vAlign w:val="center"/>
                </w:tcPr>
                <w:p w14:paraId="4CAEE46D">
                  <w:pPr>
                    <w:spacing w:line="240" w:lineRule="auto"/>
                    <w:jc w:val="center"/>
                    <w:rPr>
                      <w:rFonts w:hint="eastAsia" w:ascii="仿宋" w:hAnsi="仿宋" w:eastAsia="仿宋" w:cs="仿宋"/>
                      <w:b/>
                      <w:bCs/>
                      <w:sz w:val="24"/>
                      <w:szCs w:val="24"/>
                    </w:rPr>
                  </w:pPr>
                  <w:r>
                    <w:rPr>
                      <w:rFonts w:hint="eastAsia" w:ascii="仿宋" w:hAnsi="仿宋" w:eastAsia="仿宋" w:cs="仿宋"/>
                      <w:b/>
                      <w:bCs/>
                      <w:sz w:val="24"/>
                      <w:szCs w:val="24"/>
                    </w:rPr>
                    <w:t>类别</w:t>
                  </w:r>
                </w:p>
              </w:tc>
              <w:tc>
                <w:tcPr>
                  <w:tcW w:w="2362" w:type="dxa"/>
                  <w:shd w:val="clear" w:color="auto" w:fill="D7D7D7" w:themeFill="background1" w:themeFillShade="D8"/>
                  <w:vAlign w:val="center"/>
                </w:tcPr>
                <w:p w14:paraId="62D082BC">
                  <w:pPr>
                    <w:jc w:val="center"/>
                    <w:rPr>
                      <w:rFonts w:hint="eastAsia" w:ascii="仿宋" w:hAnsi="仿宋" w:eastAsia="仿宋" w:cs="仿宋"/>
                      <w:b/>
                      <w:sz w:val="24"/>
                    </w:rPr>
                  </w:pPr>
                  <w:r>
                    <w:rPr>
                      <w:rFonts w:hint="eastAsia" w:ascii="仿宋" w:hAnsi="仿宋" w:eastAsia="仿宋" w:cs="仿宋"/>
                      <w:b/>
                      <w:sz w:val="24"/>
                    </w:rPr>
                    <w:t>最高限价</w:t>
                  </w:r>
                </w:p>
                <w:p w14:paraId="70EA246B">
                  <w:pPr>
                    <w:spacing w:line="240" w:lineRule="auto"/>
                    <w:jc w:val="center"/>
                    <w:rPr>
                      <w:rFonts w:hint="eastAsia" w:ascii="仿宋" w:hAnsi="仿宋" w:eastAsia="仿宋" w:cs="仿宋"/>
                      <w:b/>
                      <w:bCs/>
                      <w:sz w:val="24"/>
                      <w:szCs w:val="24"/>
                    </w:rPr>
                  </w:pPr>
                  <w:r>
                    <w:rPr>
                      <w:rFonts w:hint="eastAsia" w:ascii="仿宋" w:hAnsi="仿宋" w:eastAsia="仿宋" w:cs="仿宋"/>
                      <w:b/>
                      <w:sz w:val="24"/>
                    </w:rPr>
                    <w:t>（人民币/万元）</w:t>
                  </w:r>
                </w:p>
              </w:tc>
            </w:tr>
            <w:tr w14:paraId="047C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3902" w:type="dxa"/>
                  <w:vAlign w:val="center"/>
                </w:tcPr>
                <w:p w14:paraId="61F44E96">
                  <w:pPr>
                    <w:tabs>
                      <w:tab w:val="left" w:pos="360"/>
                    </w:tabs>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广东省足球运动中心食堂服务项目</w:t>
                  </w:r>
                </w:p>
              </w:tc>
              <w:tc>
                <w:tcPr>
                  <w:tcW w:w="1207" w:type="dxa"/>
                  <w:vAlign w:val="center"/>
                </w:tcPr>
                <w:p w14:paraId="75B0ABFE">
                  <w:pPr>
                    <w:tabs>
                      <w:tab w:val="left" w:pos="360"/>
                    </w:tabs>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1项</w:t>
                  </w:r>
                </w:p>
              </w:tc>
              <w:tc>
                <w:tcPr>
                  <w:tcW w:w="822" w:type="dxa"/>
                  <w:vAlign w:val="center"/>
                </w:tcPr>
                <w:p w14:paraId="34347998">
                  <w:pPr>
                    <w:tabs>
                      <w:tab w:val="left" w:pos="360"/>
                    </w:tabs>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服务</w:t>
                  </w:r>
                </w:p>
              </w:tc>
              <w:tc>
                <w:tcPr>
                  <w:tcW w:w="2362" w:type="dxa"/>
                  <w:vAlign w:val="center"/>
                </w:tcPr>
                <w:p w14:paraId="69A461DF">
                  <w:pPr>
                    <w:tabs>
                      <w:tab w:val="left" w:pos="360"/>
                    </w:tabs>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62</w:t>
                  </w:r>
                </w:p>
              </w:tc>
            </w:tr>
          </w:tbl>
          <w:p w14:paraId="3D0DD804">
            <w:pPr>
              <w:pStyle w:val="7"/>
              <w:rPr>
                <w:rFonts w:hint="eastAsia"/>
                <w:lang w:val="en-US" w:eastAsia="zh-CN"/>
              </w:rPr>
            </w:pPr>
          </w:p>
        </w:tc>
      </w:tr>
      <w:tr w14:paraId="5674D4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1CC5D541">
            <w:pPr>
              <w:jc w:val="both"/>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4.</w:t>
            </w:r>
          </w:p>
        </w:tc>
        <w:tc>
          <w:tcPr>
            <w:tcW w:w="7484" w:type="dxa"/>
            <w:tcBorders>
              <w:top w:val="nil"/>
              <w:left w:val="nil"/>
              <w:bottom w:val="nil"/>
              <w:right w:val="nil"/>
            </w:tcBorders>
            <w:vAlign w:val="center"/>
          </w:tcPr>
          <w:p w14:paraId="15B9B030">
            <w:pPr>
              <w:jc w:val="both"/>
              <w:rPr>
                <w:rFonts w:hint="eastAsia" w:ascii="黑体" w:hAnsi="黑体" w:eastAsia="黑体" w:cs="黑体"/>
                <w:b/>
                <w:bCs/>
                <w:color w:val="auto"/>
                <w:sz w:val="28"/>
                <w:szCs w:val="28"/>
                <w:highlight w:val="none"/>
                <w:lang w:val="zh-CN"/>
              </w:rPr>
            </w:pPr>
            <w:r>
              <w:rPr>
                <w:rFonts w:hint="eastAsia" w:ascii="黑体" w:hAnsi="黑体" w:eastAsia="黑体" w:cs="黑体"/>
                <w:b/>
                <w:bCs/>
                <w:color w:val="auto"/>
                <w:sz w:val="28"/>
                <w:szCs w:val="28"/>
                <w:highlight w:val="none"/>
                <w:lang w:val="zh-CN"/>
              </w:rPr>
              <w:t>项目概况</w:t>
            </w:r>
          </w:p>
        </w:tc>
      </w:tr>
      <w:tr w14:paraId="588AD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4492B9D">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4.1</w:t>
            </w:r>
          </w:p>
        </w:tc>
        <w:tc>
          <w:tcPr>
            <w:tcW w:w="7484" w:type="dxa"/>
            <w:tcBorders>
              <w:top w:val="nil"/>
              <w:left w:val="nil"/>
              <w:bottom w:val="nil"/>
              <w:right w:val="nil"/>
            </w:tcBorders>
            <w:vAlign w:val="center"/>
          </w:tcPr>
          <w:p w14:paraId="419AAEB7">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广东省足球运动中心食堂位于广州市白云区钟落潭镇竹汉路22号广东省足球训练基地内，食堂分为一楼厨房、餐厅和二楼餐厅。厨房作业间布置分加工、烹调、面点、熟食间、洗碗间、备餐间，有冷藏和加热设备，抽排烟气效果好，照明采光好。就餐人数约250人，高峰时可达300人。</w:t>
            </w:r>
          </w:p>
        </w:tc>
      </w:tr>
      <w:tr w14:paraId="6EBA3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shd w:val="clear" w:color="auto" w:fill="auto"/>
            <w:vAlign w:val="top"/>
          </w:tcPr>
          <w:p w14:paraId="6D6AFC4C">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4.2</w:t>
            </w:r>
          </w:p>
        </w:tc>
        <w:tc>
          <w:tcPr>
            <w:tcW w:w="7484" w:type="dxa"/>
            <w:tcBorders>
              <w:top w:val="nil"/>
              <w:left w:val="nil"/>
              <w:bottom w:val="nil"/>
              <w:right w:val="nil"/>
            </w:tcBorders>
            <w:shd w:val="clear" w:color="auto" w:fill="auto"/>
            <w:vAlign w:val="center"/>
          </w:tcPr>
          <w:p w14:paraId="445899B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现选择一家成交供应商按采购人要求提供餐饮服务，食品制作、加工、餐饮服务保障等所有驻场实施项目，包括全年每天（含节假日）午、晚餐（或宵夜）制作出品和协助食材质量检验和消耗统计，午、晚餐（或宵夜）的就餐服务保障和食堂清洁卫生管理以及安全维护管理，食堂工作人员管理。</w:t>
            </w:r>
          </w:p>
        </w:tc>
      </w:tr>
      <w:tr w14:paraId="669A5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7A7E5F34">
            <w:pPr>
              <w:jc w:val="both"/>
              <w:rPr>
                <w:rFonts w:hint="default"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5.</w:t>
            </w:r>
          </w:p>
        </w:tc>
        <w:tc>
          <w:tcPr>
            <w:tcW w:w="7484" w:type="dxa"/>
            <w:tcBorders>
              <w:top w:val="nil"/>
              <w:left w:val="nil"/>
              <w:bottom w:val="nil"/>
              <w:right w:val="nil"/>
            </w:tcBorders>
            <w:vAlign w:val="center"/>
          </w:tcPr>
          <w:p w14:paraId="2E6BC60A">
            <w:pPr>
              <w:jc w:val="both"/>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服务范围（包括但不限于）</w:t>
            </w:r>
          </w:p>
        </w:tc>
      </w:tr>
      <w:tr w14:paraId="72F1D8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5FA867C8">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5.1</w:t>
            </w:r>
          </w:p>
        </w:tc>
        <w:tc>
          <w:tcPr>
            <w:tcW w:w="7484" w:type="dxa"/>
            <w:tcBorders>
              <w:top w:val="nil"/>
              <w:left w:val="nil"/>
              <w:bottom w:val="nil"/>
              <w:right w:val="nil"/>
            </w:tcBorders>
            <w:vAlign w:val="center"/>
          </w:tcPr>
          <w:p w14:paraId="75B0174F">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协助食材质量的检验和消耗统计。</w:t>
            </w:r>
          </w:p>
        </w:tc>
      </w:tr>
      <w:tr w14:paraId="274084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281F9996">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5.2</w:t>
            </w:r>
          </w:p>
        </w:tc>
        <w:tc>
          <w:tcPr>
            <w:tcW w:w="7484" w:type="dxa"/>
            <w:tcBorders>
              <w:top w:val="nil"/>
              <w:left w:val="nil"/>
              <w:bottom w:val="nil"/>
              <w:right w:val="nil"/>
            </w:tcBorders>
            <w:vAlign w:val="center"/>
          </w:tcPr>
          <w:p w14:paraId="02A7616C">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食材制作加工。</w:t>
            </w:r>
          </w:p>
        </w:tc>
      </w:tr>
      <w:tr w14:paraId="64671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2DFE9BA8">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5.3</w:t>
            </w:r>
          </w:p>
        </w:tc>
        <w:tc>
          <w:tcPr>
            <w:tcW w:w="7484" w:type="dxa"/>
            <w:tcBorders>
              <w:top w:val="nil"/>
              <w:left w:val="nil"/>
              <w:bottom w:val="nil"/>
              <w:right w:val="nil"/>
            </w:tcBorders>
            <w:vAlign w:val="center"/>
          </w:tcPr>
          <w:p w14:paraId="19629CC1">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餐饮服务。</w:t>
            </w:r>
          </w:p>
        </w:tc>
      </w:tr>
      <w:tr w14:paraId="4A62F2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0CE80F9D">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5.4</w:t>
            </w:r>
          </w:p>
        </w:tc>
        <w:tc>
          <w:tcPr>
            <w:tcW w:w="7484" w:type="dxa"/>
            <w:tcBorders>
              <w:top w:val="nil"/>
              <w:left w:val="nil"/>
              <w:bottom w:val="nil"/>
              <w:right w:val="nil"/>
            </w:tcBorders>
            <w:vAlign w:val="center"/>
          </w:tcPr>
          <w:p w14:paraId="7141EB4E">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餐具洗涤。</w:t>
            </w:r>
          </w:p>
        </w:tc>
      </w:tr>
      <w:tr w14:paraId="71B0EC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314A68C6">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5.5</w:t>
            </w:r>
          </w:p>
        </w:tc>
        <w:tc>
          <w:tcPr>
            <w:tcW w:w="7484" w:type="dxa"/>
            <w:tcBorders>
              <w:top w:val="nil"/>
              <w:left w:val="nil"/>
              <w:bottom w:val="nil"/>
              <w:right w:val="nil"/>
            </w:tcBorders>
            <w:vAlign w:val="center"/>
          </w:tcPr>
          <w:p w14:paraId="47608211">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保洁消毒。</w:t>
            </w:r>
          </w:p>
        </w:tc>
      </w:tr>
      <w:tr w14:paraId="6E3BD4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7ED93ACF">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5.6</w:t>
            </w:r>
          </w:p>
        </w:tc>
        <w:tc>
          <w:tcPr>
            <w:tcW w:w="7484" w:type="dxa"/>
            <w:tcBorders>
              <w:top w:val="nil"/>
              <w:left w:val="nil"/>
              <w:bottom w:val="nil"/>
              <w:right w:val="nil"/>
            </w:tcBorders>
            <w:vAlign w:val="center"/>
          </w:tcPr>
          <w:p w14:paraId="7198379B">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清洁卫生。</w:t>
            </w:r>
          </w:p>
        </w:tc>
      </w:tr>
      <w:tr w14:paraId="114B2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7159A252">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5.7</w:t>
            </w:r>
          </w:p>
        </w:tc>
        <w:tc>
          <w:tcPr>
            <w:tcW w:w="7484" w:type="dxa"/>
            <w:tcBorders>
              <w:top w:val="nil"/>
              <w:left w:val="nil"/>
              <w:bottom w:val="nil"/>
              <w:right w:val="nil"/>
            </w:tcBorders>
            <w:vAlign w:val="center"/>
          </w:tcPr>
          <w:p w14:paraId="50BB7BD5">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安全生产管理。</w:t>
            </w:r>
          </w:p>
        </w:tc>
      </w:tr>
      <w:tr w14:paraId="666AE6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527156C0">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5.8</w:t>
            </w:r>
          </w:p>
        </w:tc>
        <w:tc>
          <w:tcPr>
            <w:tcW w:w="7484" w:type="dxa"/>
            <w:tcBorders>
              <w:top w:val="nil"/>
              <w:left w:val="nil"/>
              <w:bottom w:val="nil"/>
              <w:right w:val="nil"/>
            </w:tcBorders>
            <w:vAlign w:val="center"/>
          </w:tcPr>
          <w:p w14:paraId="4AA53337">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做好采购人员食堂工作人员的管理和日常工作的安排。</w:t>
            </w:r>
          </w:p>
        </w:tc>
      </w:tr>
      <w:tr w14:paraId="7EEEB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4CBC957F">
            <w:pPr>
              <w:jc w:val="both"/>
              <w:rPr>
                <w:rFonts w:hint="default"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6.</w:t>
            </w:r>
          </w:p>
        </w:tc>
        <w:tc>
          <w:tcPr>
            <w:tcW w:w="7484" w:type="dxa"/>
            <w:tcBorders>
              <w:top w:val="nil"/>
              <w:left w:val="nil"/>
              <w:bottom w:val="nil"/>
              <w:right w:val="nil"/>
            </w:tcBorders>
            <w:vAlign w:val="center"/>
          </w:tcPr>
          <w:p w14:paraId="7811A9DD">
            <w:pPr>
              <w:jc w:val="both"/>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服务内容</w:t>
            </w:r>
          </w:p>
        </w:tc>
      </w:tr>
      <w:tr w14:paraId="6CEDC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59F0D0D0">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6.1</w:t>
            </w:r>
          </w:p>
        </w:tc>
        <w:tc>
          <w:tcPr>
            <w:tcW w:w="7484" w:type="dxa"/>
            <w:tcBorders>
              <w:top w:val="nil"/>
              <w:left w:val="nil"/>
              <w:bottom w:val="nil"/>
              <w:right w:val="nil"/>
            </w:tcBorders>
            <w:vAlign w:val="center"/>
          </w:tcPr>
          <w:p w14:paraId="092A17C1">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负责周菜谱制定、采购计划编制。成交供应商必须每周四15：00前制定下一周菜谱提交采购人审核批准，每天14：00前编制次日采购计划（餐饮所需的肉食、蔬菜、粮油、副食品、调味料等）提交采购人，由采购人指定食材供应商进行配送。成交供应商应按月均采购金额限额做好食材成本控制工作，每月食材采购金额上下浮动不超过月均采购金额限额的10%，同时保证食材质量和数量，确保用餐标准。</w:t>
            </w:r>
          </w:p>
        </w:tc>
      </w:tr>
      <w:tr w14:paraId="4AC87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8AE62C2">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6.2</w:t>
            </w:r>
          </w:p>
        </w:tc>
        <w:tc>
          <w:tcPr>
            <w:tcW w:w="7484" w:type="dxa"/>
            <w:tcBorders>
              <w:top w:val="nil"/>
              <w:left w:val="nil"/>
              <w:bottom w:val="nil"/>
              <w:right w:val="nil"/>
            </w:tcBorders>
            <w:vAlign w:val="center"/>
          </w:tcPr>
          <w:p w14:paraId="701E0A9C">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负责对食材供应商所配送的食材质量进行检验，如因食材质量问题、食品烹饪程序及卫生问题所造成的一切不良后果，由成交供应商负责法律责任及经济后果。</w:t>
            </w:r>
          </w:p>
        </w:tc>
      </w:tr>
      <w:tr w14:paraId="7FBBB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2E0D1FCB">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6.3</w:t>
            </w:r>
          </w:p>
        </w:tc>
        <w:tc>
          <w:tcPr>
            <w:tcW w:w="7484" w:type="dxa"/>
            <w:tcBorders>
              <w:top w:val="nil"/>
              <w:left w:val="nil"/>
              <w:bottom w:val="nil"/>
              <w:right w:val="nil"/>
            </w:tcBorders>
            <w:vAlign w:val="center"/>
          </w:tcPr>
          <w:p w14:paraId="12CCAA7C">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以自助餐的形式提供采购人全体人员全年（含节假日）午、晚自助餐的膳食加工及服务。</w:t>
            </w:r>
          </w:p>
        </w:tc>
      </w:tr>
      <w:tr w14:paraId="4EE3A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7E3B70C">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6.4</w:t>
            </w:r>
          </w:p>
        </w:tc>
        <w:tc>
          <w:tcPr>
            <w:tcW w:w="7484" w:type="dxa"/>
            <w:tcBorders>
              <w:top w:val="nil"/>
              <w:left w:val="nil"/>
              <w:bottom w:val="nil"/>
              <w:right w:val="nil"/>
            </w:tcBorders>
            <w:vAlign w:val="center"/>
          </w:tcPr>
          <w:p w14:paraId="3AAB5196">
            <w:pPr>
              <w:spacing w:line="360" w:lineRule="auto"/>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菜式品种：午餐、晚餐供应菜式品种十个或以上（至少两纯荤菜、一海鲜鱼类和一青菜，采购人有权根据当日实际就餐人数，灵活增减菜式品种数量（如粥、粉面、饺子、云吞等），成交供应商应无条件配合，并提前做好人员调配准备），科学合理搭配米饭、汤类、糖水、凉拌菜、小菜、时令水果等，逢节假日加菜，有多样营养菜式，确保口味定期更新。注重质量提高，做到荤素菜、主副食搭配合理，品种花样齐全，色、香、味、形俱佳，切实做到汤鲜、饭香、菜美。</w:t>
            </w:r>
            <w:r>
              <w:rPr>
                <w:rFonts w:hint="eastAsia" w:ascii="仿宋" w:hAnsi="仿宋" w:eastAsia="仿宋" w:cs="仿宋"/>
                <w:b/>
                <w:bCs/>
                <w:color w:val="auto"/>
                <w:sz w:val="24"/>
                <w:szCs w:val="24"/>
                <w:highlight w:val="none"/>
                <w:lang w:val="en-US" w:eastAsia="zh-CN"/>
              </w:rPr>
              <w:t>（提供承诺函，格式自拟）</w:t>
            </w:r>
          </w:p>
        </w:tc>
      </w:tr>
      <w:tr w14:paraId="7520E9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3E4EAAC">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w:t>
            </w:r>
            <w:r>
              <w:rPr>
                <w:rFonts w:hint="default" w:ascii="仿宋" w:hAnsi="仿宋" w:eastAsia="仿宋" w:cs="仿宋"/>
                <w:b w:val="0"/>
                <w:bCs w:val="0"/>
                <w:color w:val="auto"/>
                <w:sz w:val="24"/>
                <w:szCs w:val="24"/>
                <w:highlight w:val="none"/>
                <w:lang w:val="en-US" w:eastAsia="zh-CN"/>
              </w:rPr>
              <w:t>5</w:t>
            </w:r>
          </w:p>
        </w:tc>
        <w:tc>
          <w:tcPr>
            <w:tcW w:w="7484" w:type="dxa"/>
            <w:tcBorders>
              <w:top w:val="nil"/>
              <w:left w:val="nil"/>
              <w:bottom w:val="nil"/>
              <w:right w:val="nil"/>
            </w:tcBorders>
            <w:vAlign w:val="center"/>
          </w:tcPr>
          <w:p w14:paraId="60F543AA">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在符合国家、地方和行业的餐饮、食品卫生质量标准的前提下，有服务质量和加工标准化管理办法，设立原材料加工标准、配制标准、烹调标准、卫生标准等，生产加工过程统一标准、规格、程序，确保菜肴食品质量的安全、卫生、可口。成交供应商应根据采购人就餐人员数量，加工与之相适应的膳食（包括午餐、晚餐），避免食物量不足或过度浪费的情况。</w:t>
            </w:r>
            <w:r>
              <w:rPr>
                <w:rFonts w:hint="eastAsia" w:ascii="仿宋" w:hAnsi="仿宋" w:eastAsia="仿宋" w:cs="仿宋"/>
                <w:b/>
                <w:bCs/>
                <w:color w:val="auto"/>
                <w:sz w:val="24"/>
                <w:szCs w:val="24"/>
                <w:highlight w:val="none"/>
                <w:lang w:val="en-US" w:eastAsia="zh-CN"/>
              </w:rPr>
              <w:t>（提供承诺函，格式自拟）</w:t>
            </w:r>
          </w:p>
        </w:tc>
      </w:tr>
      <w:tr w14:paraId="0520D6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20FEB73C">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w:t>
            </w:r>
            <w:r>
              <w:rPr>
                <w:rFonts w:hint="default" w:ascii="仿宋" w:hAnsi="仿宋" w:eastAsia="仿宋" w:cs="仿宋"/>
                <w:b w:val="0"/>
                <w:bCs w:val="0"/>
                <w:color w:val="auto"/>
                <w:sz w:val="24"/>
                <w:szCs w:val="24"/>
                <w:highlight w:val="none"/>
                <w:lang w:val="en-US" w:eastAsia="zh-CN"/>
              </w:rPr>
              <w:t>6</w:t>
            </w:r>
          </w:p>
        </w:tc>
        <w:tc>
          <w:tcPr>
            <w:tcW w:w="7484" w:type="dxa"/>
            <w:tcBorders>
              <w:top w:val="nil"/>
              <w:left w:val="nil"/>
              <w:bottom w:val="nil"/>
              <w:right w:val="nil"/>
            </w:tcBorders>
            <w:vAlign w:val="center"/>
          </w:tcPr>
          <w:p w14:paraId="1AAC9148">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采购人就餐时间：早餐7:00-8:30，午餐11:30-12:45，晚餐18:00-19:30（采购人可根据工作需要，向成交供应商提出变更开餐时间或延长开餐时间，为保证出品菜式质量和口感同时避免食材的浪费，用餐菜品的供应，需按需求少量分多次烹饪添补方式供应，成交供应商需无条件服从。）</w:t>
            </w:r>
          </w:p>
        </w:tc>
      </w:tr>
      <w:tr w14:paraId="7D3E32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9E14564">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w:t>
            </w:r>
            <w:r>
              <w:rPr>
                <w:rFonts w:hint="default" w:ascii="仿宋" w:hAnsi="仿宋" w:eastAsia="仿宋" w:cs="仿宋"/>
                <w:b w:val="0"/>
                <w:bCs w:val="0"/>
                <w:color w:val="auto"/>
                <w:sz w:val="24"/>
                <w:szCs w:val="24"/>
                <w:highlight w:val="none"/>
                <w:lang w:val="en-US" w:eastAsia="zh-CN"/>
              </w:rPr>
              <w:t>7</w:t>
            </w:r>
          </w:p>
        </w:tc>
        <w:tc>
          <w:tcPr>
            <w:tcW w:w="7484" w:type="dxa"/>
            <w:tcBorders>
              <w:top w:val="nil"/>
              <w:left w:val="nil"/>
              <w:bottom w:val="nil"/>
              <w:right w:val="nil"/>
            </w:tcBorders>
            <w:vAlign w:val="center"/>
          </w:tcPr>
          <w:p w14:paraId="42C19FB1">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安排好食堂工作人员按要求做好早、午、晚餐清洁卫生服务：</w:t>
            </w:r>
          </w:p>
          <w:p w14:paraId="24325E91">
            <w:pPr>
              <w:numPr>
                <w:ilvl w:val="0"/>
                <w:numId w:val="1"/>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厨具、餐具需每餐清洗高温消毒；</w:t>
            </w:r>
          </w:p>
          <w:p w14:paraId="2CFB39FA">
            <w:pPr>
              <w:numPr>
                <w:ilvl w:val="0"/>
                <w:numId w:val="1"/>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保持食堂、餐厅及厨房的环境清洁卫生。</w:t>
            </w:r>
          </w:p>
        </w:tc>
      </w:tr>
      <w:tr w14:paraId="70C733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5BE79361">
            <w:pPr>
              <w:jc w:val="both"/>
              <w:rPr>
                <w:rFonts w:hint="default"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7.</w:t>
            </w:r>
          </w:p>
        </w:tc>
        <w:tc>
          <w:tcPr>
            <w:tcW w:w="7484" w:type="dxa"/>
            <w:tcBorders>
              <w:top w:val="nil"/>
              <w:left w:val="nil"/>
              <w:bottom w:val="nil"/>
              <w:right w:val="nil"/>
            </w:tcBorders>
            <w:vAlign w:val="center"/>
          </w:tcPr>
          <w:p w14:paraId="2A95A0CB">
            <w:pPr>
              <w:jc w:val="both"/>
              <w:rPr>
                <w:rFonts w:hint="eastAsia"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服务要求</w:t>
            </w:r>
          </w:p>
        </w:tc>
      </w:tr>
      <w:tr w14:paraId="42644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17427EF7">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7.1</w:t>
            </w:r>
          </w:p>
        </w:tc>
        <w:tc>
          <w:tcPr>
            <w:tcW w:w="7484" w:type="dxa"/>
            <w:tcBorders>
              <w:top w:val="nil"/>
              <w:left w:val="nil"/>
              <w:bottom w:val="nil"/>
              <w:right w:val="nil"/>
            </w:tcBorders>
            <w:vAlign w:val="center"/>
          </w:tcPr>
          <w:p w14:paraId="2BFE076A">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设备设施要求</w:t>
            </w:r>
          </w:p>
        </w:tc>
      </w:tr>
      <w:tr w14:paraId="5B2A1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5AFB76F8">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7.1.1</w:t>
            </w:r>
          </w:p>
        </w:tc>
        <w:tc>
          <w:tcPr>
            <w:tcW w:w="7484" w:type="dxa"/>
            <w:tcBorders>
              <w:top w:val="nil"/>
              <w:left w:val="nil"/>
              <w:bottom w:val="nil"/>
              <w:right w:val="nil"/>
            </w:tcBorders>
            <w:vAlign w:val="center"/>
          </w:tcPr>
          <w:p w14:paraId="647C5519">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采购人无偿提供食堂建筑主体、餐饮设施设备供成交供应商使用，成交供应商只拥有服务期内的使用权，服务期结束后（无论是自然终止还是因故中止），上述资产须立即无条件按清单移交采购人。</w:t>
            </w:r>
          </w:p>
        </w:tc>
      </w:tr>
      <w:tr w14:paraId="10895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6EC4234">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7.1.2</w:t>
            </w:r>
          </w:p>
        </w:tc>
        <w:tc>
          <w:tcPr>
            <w:tcW w:w="7484" w:type="dxa"/>
            <w:tcBorders>
              <w:top w:val="nil"/>
              <w:left w:val="nil"/>
              <w:bottom w:val="nil"/>
              <w:right w:val="nil"/>
            </w:tcBorders>
            <w:vAlign w:val="center"/>
          </w:tcPr>
          <w:p w14:paraId="42835A5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成交供应商对食堂现有建筑主体不得变动其结构和使用性质。经采购人批准同意后，成交供应商可根据采购人要求对厨房、餐厅合理调整布局。</w:t>
            </w:r>
          </w:p>
        </w:tc>
      </w:tr>
      <w:tr w14:paraId="51CCE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7DDFBA9">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7.1.3</w:t>
            </w:r>
          </w:p>
        </w:tc>
        <w:tc>
          <w:tcPr>
            <w:tcW w:w="7484" w:type="dxa"/>
            <w:tcBorders>
              <w:top w:val="nil"/>
              <w:left w:val="nil"/>
              <w:bottom w:val="nil"/>
              <w:right w:val="nil"/>
            </w:tcBorders>
            <w:vAlign w:val="center"/>
          </w:tcPr>
          <w:p w14:paraId="2A2C85CB">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合同期内的，食堂设施设备日常维护、维修、添置，由成交供应商提出申请，经采购人审核同意后，由采购人维修和添置，所需费用由采购人负责（由成交供应商的人员人为损坏的，由成交供应商负责赔偿）。</w:t>
            </w:r>
          </w:p>
        </w:tc>
      </w:tr>
      <w:tr w14:paraId="641BC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0964F93">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7.1.4</w:t>
            </w:r>
          </w:p>
        </w:tc>
        <w:tc>
          <w:tcPr>
            <w:tcW w:w="7484" w:type="dxa"/>
            <w:tcBorders>
              <w:top w:val="nil"/>
              <w:left w:val="nil"/>
              <w:bottom w:val="nil"/>
              <w:right w:val="nil"/>
            </w:tcBorders>
            <w:vAlign w:val="center"/>
          </w:tcPr>
          <w:p w14:paraId="267E2790">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成交供应商应负责对厨房及餐厅设施、设备的正常使用与管理，严格按使用规程操作，因使用不当造成损坏，由成交供应商负责照价赔偿，涉及安全生产事故的情况，将保留追究法律责任的权利。</w:t>
            </w:r>
          </w:p>
        </w:tc>
      </w:tr>
      <w:tr w14:paraId="4A0B1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35D5CED2">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7.1.5</w:t>
            </w:r>
          </w:p>
        </w:tc>
        <w:tc>
          <w:tcPr>
            <w:tcW w:w="7484" w:type="dxa"/>
            <w:tcBorders>
              <w:top w:val="nil"/>
              <w:left w:val="nil"/>
              <w:bottom w:val="nil"/>
              <w:right w:val="nil"/>
            </w:tcBorders>
            <w:vAlign w:val="center"/>
          </w:tcPr>
          <w:p w14:paraId="019E2C76">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成交供应商在做好服务保障工作的同时，要加强餐饮服务管理，做好成本控制，抓好落实防止餐饮浪费；要合理搭配伙食，定期研究开发新的菜品，提高饭菜质量。</w:t>
            </w:r>
          </w:p>
        </w:tc>
      </w:tr>
      <w:tr w14:paraId="1723A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D97D7BD">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7.1.6</w:t>
            </w:r>
          </w:p>
        </w:tc>
        <w:tc>
          <w:tcPr>
            <w:tcW w:w="7484" w:type="dxa"/>
            <w:tcBorders>
              <w:top w:val="nil"/>
              <w:left w:val="nil"/>
              <w:bottom w:val="nil"/>
              <w:right w:val="nil"/>
            </w:tcBorders>
            <w:vAlign w:val="center"/>
          </w:tcPr>
          <w:p w14:paraId="5C613266">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★负责规范管理现有食堂工作人员团队、明确职责分工；做好日常工作的安排（包括早午晚人员排班），确保供餐高峰有序运转、非高峰时段合理控制人力成本。</w:t>
            </w:r>
            <w:r>
              <w:rPr>
                <w:rFonts w:hint="eastAsia" w:ascii="仿宋" w:hAnsi="仿宋" w:eastAsia="仿宋" w:cs="仿宋"/>
                <w:b/>
                <w:bCs/>
                <w:color w:val="auto"/>
                <w:sz w:val="24"/>
                <w:szCs w:val="24"/>
                <w:highlight w:val="none"/>
                <w:lang w:val="en-US" w:eastAsia="zh-CN"/>
              </w:rPr>
              <w:t>（提供承诺函，格式自拟）</w:t>
            </w:r>
          </w:p>
        </w:tc>
      </w:tr>
      <w:tr w14:paraId="4E439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648A98A4">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7.2</w:t>
            </w:r>
          </w:p>
        </w:tc>
        <w:tc>
          <w:tcPr>
            <w:tcW w:w="7484" w:type="dxa"/>
            <w:tcBorders>
              <w:top w:val="nil"/>
              <w:left w:val="nil"/>
              <w:bottom w:val="nil"/>
              <w:right w:val="nil"/>
            </w:tcBorders>
            <w:vAlign w:val="center"/>
          </w:tcPr>
          <w:p w14:paraId="602939EB">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食材要求</w:t>
            </w:r>
          </w:p>
        </w:tc>
      </w:tr>
      <w:tr w14:paraId="23C1B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A41DE7E">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7.2.1</w:t>
            </w:r>
          </w:p>
        </w:tc>
        <w:tc>
          <w:tcPr>
            <w:tcW w:w="7484" w:type="dxa"/>
            <w:tcBorders>
              <w:top w:val="nil"/>
              <w:left w:val="nil"/>
              <w:bottom w:val="nil"/>
              <w:right w:val="nil"/>
            </w:tcBorders>
            <w:vAlign w:val="center"/>
          </w:tcPr>
          <w:p w14:paraId="31ACFD54">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采购人另行招标选定食材供应商，成交供应商负责周菜谱制定、食材采购计划编制，并提交采购人审核批准后，由采购人指定食材供应商进行配送。</w:t>
            </w:r>
          </w:p>
        </w:tc>
      </w:tr>
      <w:tr w14:paraId="6E552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8FD5971">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7.2.2</w:t>
            </w:r>
          </w:p>
        </w:tc>
        <w:tc>
          <w:tcPr>
            <w:tcW w:w="7484" w:type="dxa"/>
            <w:tcBorders>
              <w:top w:val="nil"/>
              <w:left w:val="nil"/>
              <w:bottom w:val="nil"/>
              <w:right w:val="nil"/>
            </w:tcBorders>
            <w:vAlign w:val="center"/>
          </w:tcPr>
          <w:p w14:paraId="3AEF4611">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食材质量检验由成交供应商协助采购人进行，成交供应商要严格把好食材质量验收关，杜绝使用不合格的食材进行加工烹饪。食材采购相关费用，由采购人与食材供应商进行结算。</w:t>
            </w:r>
          </w:p>
        </w:tc>
      </w:tr>
      <w:tr w14:paraId="03CCD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51D22B75">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7.2.3</w:t>
            </w:r>
          </w:p>
        </w:tc>
        <w:tc>
          <w:tcPr>
            <w:tcW w:w="7484" w:type="dxa"/>
            <w:tcBorders>
              <w:top w:val="nil"/>
              <w:left w:val="nil"/>
              <w:bottom w:val="nil"/>
              <w:right w:val="nil"/>
            </w:tcBorders>
            <w:vAlign w:val="center"/>
          </w:tcPr>
          <w:p w14:paraId="4C476FEE">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应知道并了解，采购人为省级体育竞赛项目训练基地，对食材质量要求较高，严禁出现兴奋剂事故。成交供应商不得使用运动员禁止食用的包括但不限于食材及酱料，不得使用转基因食材。否则，采购人有权单方面无条件终止合同，追究成交供应商经济赔偿责任或法律责任。</w:t>
            </w:r>
            <w:r>
              <w:rPr>
                <w:rFonts w:hint="eastAsia" w:ascii="仿宋" w:hAnsi="仿宋" w:eastAsia="仿宋" w:cs="仿宋"/>
                <w:b/>
                <w:bCs/>
                <w:color w:val="auto"/>
                <w:sz w:val="24"/>
                <w:szCs w:val="24"/>
                <w:highlight w:val="none"/>
                <w:lang w:val="en-US" w:eastAsia="zh-CN"/>
              </w:rPr>
              <w:t>（提供承诺函，格式自拟）</w:t>
            </w:r>
          </w:p>
        </w:tc>
      </w:tr>
      <w:tr w14:paraId="36B2B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3E1CBF71">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7.3</w:t>
            </w:r>
          </w:p>
        </w:tc>
        <w:tc>
          <w:tcPr>
            <w:tcW w:w="7484" w:type="dxa"/>
            <w:tcBorders>
              <w:top w:val="nil"/>
              <w:left w:val="nil"/>
              <w:bottom w:val="nil"/>
              <w:right w:val="nil"/>
            </w:tcBorders>
            <w:vAlign w:val="center"/>
          </w:tcPr>
          <w:p w14:paraId="168C729E">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卫生要求</w:t>
            </w:r>
          </w:p>
        </w:tc>
      </w:tr>
      <w:tr w14:paraId="2709F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5261AED5">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7.3.1</w:t>
            </w:r>
          </w:p>
        </w:tc>
        <w:tc>
          <w:tcPr>
            <w:tcW w:w="7484" w:type="dxa"/>
            <w:tcBorders>
              <w:top w:val="nil"/>
              <w:left w:val="nil"/>
              <w:bottom w:val="nil"/>
              <w:right w:val="nil"/>
            </w:tcBorders>
            <w:vAlign w:val="center"/>
          </w:tcPr>
          <w:p w14:paraId="487159B0">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必须制定严格的餐饮卫生管理制度和食品安全突发事故应急预案，依法开展服务活动，符合《中华人民共和国食品安全法》、《中华人民共和国安全生产法》、国家食品药品监督管理局《餐饮服务食品安全操作规范》等法律、法规以及采购人的相关管理规定和要求，保障采购人合法权益，确保饮食安全卫生。</w:t>
            </w:r>
            <w:r>
              <w:rPr>
                <w:rFonts w:hint="eastAsia" w:ascii="仿宋" w:hAnsi="仿宋" w:eastAsia="仿宋" w:cs="仿宋"/>
                <w:b/>
                <w:bCs/>
                <w:color w:val="auto"/>
                <w:sz w:val="24"/>
                <w:szCs w:val="24"/>
                <w:highlight w:val="none"/>
                <w:lang w:val="en-US" w:eastAsia="zh-CN"/>
              </w:rPr>
              <w:t>（提供承诺函，格式自拟）</w:t>
            </w:r>
          </w:p>
        </w:tc>
      </w:tr>
      <w:tr w14:paraId="530B86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7A6FE0D6">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7.3.2</w:t>
            </w:r>
          </w:p>
        </w:tc>
        <w:tc>
          <w:tcPr>
            <w:tcW w:w="7484" w:type="dxa"/>
            <w:tcBorders>
              <w:top w:val="nil"/>
              <w:left w:val="nil"/>
              <w:bottom w:val="nil"/>
              <w:right w:val="nil"/>
            </w:tcBorders>
            <w:vAlign w:val="center"/>
          </w:tcPr>
          <w:p w14:paraId="33F50E8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▲就餐环境要求良好，应保证食堂通风、干净卫生、地面无积水，及时清理餐桌、打菜台、剩饭剩菜等垃圾，室内温度超过26℃应开电风扇或空调等。</w:t>
            </w:r>
            <w:r>
              <w:rPr>
                <w:rFonts w:hint="eastAsia" w:ascii="仿宋" w:hAnsi="仿宋" w:eastAsia="仿宋" w:cs="仿宋"/>
                <w:b/>
                <w:bCs/>
                <w:color w:val="auto"/>
                <w:sz w:val="24"/>
                <w:szCs w:val="24"/>
                <w:highlight w:val="none"/>
                <w:lang w:val="en-US" w:eastAsia="zh-CN"/>
              </w:rPr>
              <w:t>（提供承诺函，格式自拟）</w:t>
            </w:r>
          </w:p>
        </w:tc>
      </w:tr>
      <w:tr w14:paraId="72E94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328314D8">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7.3.3</w:t>
            </w:r>
          </w:p>
        </w:tc>
        <w:tc>
          <w:tcPr>
            <w:tcW w:w="7484" w:type="dxa"/>
            <w:tcBorders>
              <w:top w:val="nil"/>
              <w:left w:val="nil"/>
              <w:bottom w:val="nil"/>
              <w:right w:val="nil"/>
            </w:tcBorders>
            <w:vAlign w:val="center"/>
          </w:tcPr>
          <w:p w14:paraId="7811BA17">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▲餐厅、厨房及周边区域的卫生要天天清扫，餐厅内要做到干净整洁、窗户明亮，通风良好。厨房、操作间经常保持清洁、整齐、无杂物，下水畅通，垃圾分类及时清理。</w:t>
            </w:r>
            <w:r>
              <w:rPr>
                <w:rFonts w:hint="eastAsia" w:ascii="仿宋" w:hAnsi="仿宋" w:eastAsia="仿宋" w:cs="仿宋"/>
                <w:b/>
                <w:bCs/>
                <w:color w:val="auto"/>
                <w:sz w:val="24"/>
                <w:szCs w:val="24"/>
                <w:highlight w:val="none"/>
                <w:lang w:val="en-US" w:eastAsia="zh-CN"/>
              </w:rPr>
              <w:t>（提供承诺函，格式自拟）</w:t>
            </w:r>
          </w:p>
        </w:tc>
      </w:tr>
      <w:tr w14:paraId="22A558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3C8E6721">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7.3.4</w:t>
            </w:r>
          </w:p>
        </w:tc>
        <w:tc>
          <w:tcPr>
            <w:tcW w:w="7484" w:type="dxa"/>
            <w:tcBorders>
              <w:top w:val="nil"/>
              <w:left w:val="nil"/>
              <w:bottom w:val="nil"/>
              <w:right w:val="nil"/>
            </w:tcBorders>
            <w:vAlign w:val="center"/>
          </w:tcPr>
          <w:p w14:paraId="3FEA0E2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▲保持食品和冰箱存放食品的清洁卫生。合理储存食品，做到餐具和食品生熟、荤素分开，防止食品相互交叉污染。</w:t>
            </w:r>
            <w:r>
              <w:rPr>
                <w:rFonts w:hint="eastAsia" w:ascii="仿宋" w:hAnsi="仿宋" w:eastAsia="仿宋" w:cs="仿宋"/>
                <w:b/>
                <w:bCs/>
                <w:color w:val="auto"/>
                <w:sz w:val="24"/>
                <w:szCs w:val="24"/>
                <w:highlight w:val="none"/>
                <w:lang w:val="en-US" w:eastAsia="zh-CN"/>
              </w:rPr>
              <w:t>（提供承诺函，格式自拟）</w:t>
            </w:r>
          </w:p>
        </w:tc>
      </w:tr>
      <w:tr w14:paraId="19F0C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3AF5804">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7.3.5</w:t>
            </w:r>
          </w:p>
        </w:tc>
        <w:tc>
          <w:tcPr>
            <w:tcW w:w="7484" w:type="dxa"/>
            <w:tcBorders>
              <w:top w:val="nil"/>
              <w:left w:val="nil"/>
              <w:bottom w:val="nil"/>
              <w:right w:val="nil"/>
            </w:tcBorders>
            <w:vAlign w:val="center"/>
          </w:tcPr>
          <w:p w14:paraId="4494E045">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▲保持餐具、厨具和操作间卫生。坚持餐具用后洗涮，流水冲洗，及时消毒，严禁使用不洁餐具、厨具，经常清理厨具污渍，保持清洁干净。</w:t>
            </w:r>
            <w:r>
              <w:rPr>
                <w:rFonts w:hint="eastAsia" w:ascii="仿宋" w:hAnsi="仿宋" w:eastAsia="仿宋" w:cs="仿宋"/>
                <w:b/>
                <w:bCs/>
                <w:color w:val="auto"/>
                <w:sz w:val="24"/>
                <w:szCs w:val="24"/>
                <w:highlight w:val="none"/>
                <w:lang w:val="en-US" w:eastAsia="zh-CN"/>
              </w:rPr>
              <w:t>（提供承诺函，格式自拟）</w:t>
            </w:r>
          </w:p>
        </w:tc>
      </w:tr>
      <w:tr w14:paraId="0A253F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3888FDB2">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7.3.6</w:t>
            </w:r>
          </w:p>
        </w:tc>
        <w:tc>
          <w:tcPr>
            <w:tcW w:w="7484" w:type="dxa"/>
            <w:tcBorders>
              <w:top w:val="nil"/>
              <w:left w:val="nil"/>
              <w:bottom w:val="nil"/>
              <w:right w:val="nil"/>
            </w:tcBorders>
            <w:vAlign w:val="center"/>
          </w:tcPr>
          <w:p w14:paraId="1915423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▲经常检查食品（材）质量，防止菌变或食物中毒。</w:t>
            </w:r>
            <w:r>
              <w:rPr>
                <w:rFonts w:hint="eastAsia" w:ascii="仿宋" w:hAnsi="仿宋" w:eastAsia="仿宋" w:cs="仿宋"/>
                <w:b/>
                <w:bCs/>
                <w:color w:val="auto"/>
                <w:sz w:val="24"/>
                <w:szCs w:val="24"/>
                <w:highlight w:val="none"/>
                <w:lang w:val="en-US" w:eastAsia="zh-CN"/>
              </w:rPr>
              <w:t>（提供承诺函，格式自拟）</w:t>
            </w:r>
          </w:p>
        </w:tc>
      </w:tr>
      <w:tr w14:paraId="0485C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B12DD23">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7.3.7</w:t>
            </w:r>
          </w:p>
        </w:tc>
        <w:tc>
          <w:tcPr>
            <w:tcW w:w="7484" w:type="dxa"/>
            <w:tcBorders>
              <w:top w:val="nil"/>
              <w:left w:val="nil"/>
              <w:bottom w:val="nil"/>
              <w:right w:val="nil"/>
            </w:tcBorders>
            <w:vAlign w:val="center"/>
          </w:tcPr>
          <w:p w14:paraId="60379DDB">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▲成交供应商按照国家有关餐具卫生管理要求，做好公共餐具清洗和消毒工作。</w:t>
            </w:r>
            <w:r>
              <w:rPr>
                <w:rFonts w:hint="eastAsia" w:ascii="仿宋" w:hAnsi="仿宋" w:eastAsia="仿宋" w:cs="仿宋"/>
                <w:b/>
                <w:bCs/>
                <w:color w:val="auto"/>
                <w:sz w:val="24"/>
                <w:szCs w:val="24"/>
                <w:highlight w:val="none"/>
                <w:lang w:val="en-US" w:eastAsia="zh-CN"/>
              </w:rPr>
              <w:t>（提供承诺函，格式自拟）</w:t>
            </w:r>
          </w:p>
        </w:tc>
      </w:tr>
      <w:tr w14:paraId="40741F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A8DFEB2">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7.3.8</w:t>
            </w:r>
          </w:p>
        </w:tc>
        <w:tc>
          <w:tcPr>
            <w:tcW w:w="7484" w:type="dxa"/>
            <w:tcBorders>
              <w:top w:val="nil"/>
              <w:left w:val="nil"/>
              <w:bottom w:val="nil"/>
              <w:right w:val="nil"/>
            </w:tcBorders>
            <w:vAlign w:val="center"/>
          </w:tcPr>
          <w:p w14:paraId="481E609C">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▲成交供应商负责打扫食堂区域的卫生，并实行门前三包，所需清洁卫生易耗品、清洁消毒剂等均由采购人负责购置。</w:t>
            </w:r>
            <w:r>
              <w:rPr>
                <w:rFonts w:hint="eastAsia" w:ascii="仿宋" w:hAnsi="仿宋" w:eastAsia="仿宋" w:cs="仿宋"/>
                <w:b/>
                <w:bCs/>
                <w:color w:val="auto"/>
                <w:sz w:val="24"/>
                <w:szCs w:val="24"/>
                <w:highlight w:val="none"/>
                <w:lang w:val="en-US" w:eastAsia="zh-CN"/>
              </w:rPr>
              <w:t>（提供承诺函，格式自拟）</w:t>
            </w:r>
          </w:p>
        </w:tc>
      </w:tr>
      <w:tr w14:paraId="21D1B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442600B3">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7.4</w:t>
            </w:r>
          </w:p>
        </w:tc>
        <w:tc>
          <w:tcPr>
            <w:tcW w:w="7484" w:type="dxa"/>
            <w:tcBorders>
              <w:top w:val="nil"/>
              <w:left w:val="nil"/>
              <w:bottom w:val="nil"/>
              <w:right w:val="nil"/>
            </w:tcBorders>
            <w:vAlign w:val="center"/>
          </w:tcPr>
          <w:p w14:paraId="40170C98">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安全要求</w:t>
            </w:r>
          </w:p>
        </w:tc>
      </w:tr>
      <w:tr w14:paraId="3ED9A3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5041688A">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7.4.1</w:t>
            </w:r>
          </w:p>
        </w:tc>
        <w:tc>
          <w:tcPr>
            <w:tcW w:w="7484" w:type="dxa"/>
            <w:tcBorders>
              <w:top w:val="nil"/>
              <w:left w:val="nil"/>
              <w:bottom w:val="nil"/>
              <w:right w:val="nil"/>
            </w:tcBorders>
            <w:vAlign w:val="center"/>
          </w:tcPr>
          <w:p w14:paraId="4C07290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r>
              <w:rPr>
                <w:rFonts w:hint="eastAsia" w:ascii="仿宋" w:hAnsi="仿宋" w:eastAsia="仿宋" w:cs="仿宋"/>
                <w:b w:val="0"/>
                <w:bCs w:val="0"/>
                <w:color w:val="auto"/>
                <w:sz w:val="24"/>
                <w:szCs w:val="24"/>
                <w:highlight w:val="none"/>
                <w:lang w:val="en-US" w:eastAsia="zh-CN"/>
              </w:rPr>
              <w:t>成交供应商必须做好安全用水、用火、用电等工作，按操作要求安全使用电、火，对电开关、灶具电器设备等开关等定期或不定期进行安全检查，发现损坏立即报修。因成交供应商原因造成火灾及工伤等事故所造成的一切经济损失和法律责任均由成交供应商负责承担。涉及安全事故的直接责任人员，成交供应商须在事故发生后立即将其调离本项目岗位，不得继续在本项目从事任何工作。成交供应商应在24小时内完成人员调离及岗位补充安排，确保食堂正常运营不受影响。未按时调离的，采购人有权责令限期改正；逾期拒不执行的，采购人有权单方面无条件终止合同。</w:t>
            </w:r>
            <w:r>
              <w:rPr>
                <w:rFonts w:hint="eastAsia" w:ascii="仿宋" w:hAnsi="仿宋" w:eastAsia="仿宋" w:cs="仿宋"/>
                <w:b/>
                <w:bCs/>
                <w:color w:val="auto"/>
                <w:sz w:val="24"/>
                <w:szCs w:val="24"/>
                <w:highlight w:val="none"/>
                <w:lang w:val="en-US" w:eastAsia="zh-CN"/>
              </w:rPr>
              <w:t>（提供承诺函，格式自拟）</w:t>
            </w:r>
          </w:p>
        </w:tc>
      </w:tr>
      <w:tr w14:paraId="15B95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77C3F57">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7.4.2</w:t>
            </w:r>
          </w:p>
        </w:tc>
        <w:tc>
          <w:tcPr>
            <w:tcW w:w="7484" w:type="dxa"/>
            <w:tcBorders>
              <w:top w:val="nil"/>
              <w:left w:val="nil"/>
              <w:bottom w:val="nil"/>
              <w:right w:val="nil"/>
            </w:tcBorders>
            <w:vAlign w:val="center"/>
          </w:tcPr>
          <w:p w14:paraId="448353A1">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r>
              <w:rPr>
                <w:rFonts w:hint="eastAsia" w:ascii="仿宋" w:hAnsi="仿宋" w:eastAsia="仿宋" w:cs="仿宋"/>
                <w:b w:val="0"/>
                <w:bCs w:val="0"/>
                <w:color w:val="auto"/>
                <w:sz w:val="24"/>
                <w:szCs w:val="24"/>
                <w:highlight w:val="none"/>
                <w:lang w:val="en-US" w:eastAsia="zh-CN"/>
              </w:rPr>
              <w:t>成交供应商必须严格把好食品卫生安全关。成交供应商必须做好食品留样等常规安全手续并做好存档资料工作。服务期间，因食堂食品安全造成的且经食品药品监督部门检查认定或卫生行政部门检验鉴定确认是成交供应商的责任所引起的食品安全事故，由成交供应商承担相关责任和支付全部罚金及一切费用，且采购人有权单方面无条件终止合同。</w:t>
            </w:r>
            <w:r>
              <w:rPr>
                <w:rFonts w:hint="eastAsia" w:ascii="仿宋" w:hAnsi="仿宋" w:eastAsia="仿宋" w:cs="仿宋"/>
                <w:b/>
                <w:bCs/>
                <w:color w:val="auto"/>
                <w:sz w:val="24"/>
                <w:szCs w:val="24"/>
                <w:highlight w:val="none"/>
                <w:lang w:val="en-US" w:eastAsia="zh-CN"/>
              </w:rPr>
              <w:t>（提供承诺函，格式自拟）</w:t>
            </w:r>
          </w:p>
        </w:tc>
      </w:tr>
      <w:tr w14:paraId="4474A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8FACF56">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7.4.3</w:t>
            </w:r>
          </w:p>
        </w:tc>
        <w:tc>
          <w:tcPr>
            <w:tcW w:w="7484" w:type="dxa"/>
            <w:tcBorders>
              <w:top w:val="nil"/>
              <w:left w:val="nil"/>
              <w:bottom w:val="nil"/>
              <w:right w:val="nil"/>
            </w:tcBorders>
            <w:vAlign w:val="center"/>
          </w:tcPr>
          <w:p w14:paraId="30F26D74">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r>
              <w:rPr>
                <w:rFonts w:hint="eastAsia" w:ascii="仿宋" w:hAnsi="仿宋" w:eastAsia="仿宋" w:cs="仿宋"/>
                <w:b w:val="0"/>
                <w:bCs w:val="0"/>
                <w:color w:val="auto"/>
                <w:sz w:val="24"/>
                <w:szCs w:val="24"/>
                <w:highlight w:val="none"/>
                <w:lang w:val="en-US" w:eastAsia="zh-CN"/>
              </w:rPr>
              <w:t>成交供应商应根据当前公共卫生形势，建立健全卫生防疫管理制度，切实做好各项防疫措施。</w:t>
            </w:r>
            <w:r>
              <w:rPr>
                <w:rFonts w:hint="eastAsia" w:ascii="仿宋" w:hAnsi="仿宋" w:eastAsia="仿宋" w:cs="仿宋"/>
                <w:b/>
                <w:bCs/>
                <w:color w:val="auto"/>
                <w:sz w:val="24"/>
                <w:szCs w:val="24"/>
                <w:highlight w:val="none"/>
                <w:lang w:val="en-US" w:eastAsia="zh-CN"/>
              </w:rPr>
              <w:t>（提供承诺函，格式自拟）</w:t>
            </w:r>
          </w:p>
        </w:tc>
      </w:tr>
      <w:tr w14:paraId="3533F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053459C1">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7.4.4</w:t>
            </w:r>
          </w:p>
        </w:tc>
        <w:tc>
          <w:tcPr>
            <w:tcW w:w="7484" w:type="dxa"/>
            <w:tcBorders>
              <w:top w:val="nil"/>
              <w:left w:val="nil"/>
              <w:bottom w:val="nil"/>
              <w:right w:val="nil"/>
            </w:tcBorders>
            <w:vAlign w:val="center"/>
          </w:tcPr>
          <w:p w14:paraId="3CDEC0ED">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r>
              <w:rPr>
                <w:rFonts w:hint="eastAsia" w:ascii="仿宋" w:hAnsi="仿宋" w:eastAsia="仿宋" w:cs="仿宋"/>
                <w:b w:val="0"/>
                <w:bCs w:val="0"/>
                <w:color w:val="auto"/>
                <w:sz w:val="24"/>
                <w:szCs w:val="24"/>
                <w:highlight w:val="none"/>
                <w:lang w:val="en-US" w:eastAsia="zh-CN"/>
              </w:rPr>
              <w:t>采购人使用的是大功率电磁炒炉设备，成交供应商要建立健全设备开关登记制度，做好登记记录，严格落实安全责任。</w:t>
            </w:r>
            <w:r>
              <w:rPr>
                <w:rFonts w:hint="eastAsia" w:ascii="仿宋" w:hAnsi="仿宋" w:eastAsia="仿宋" w:cs="仿宋"/>
                <w:b/>
                <w:bCs/>
                <w:color w:val="auto"/>
                <w:sz w:val="24"/>
                <w:szCs w:val="24"/>
                <w:highlight w:val="none"/>
                <w:lang w:val="en-US" w:eastAsia="zh-CN"/>
              </w:rPr>
              <w:t>（提供承诺函，格式自拟）</w:t>
            </w:r>
          </w:p>
        </w:tc>
      </w:tr>
      <w:tr w14:paraId="53C308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5CC910BA">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7.5</w:t>
            </w:r>
          </w:p>
        </w:tc>
        <w:tc>
          <w:tcPr>
            <w:tcW w:w="7484" w:type="dxa"/>
            <w:tcBorders>
              <w:top w:val="nil"/>
              <w:left w:val="nil"/>
              <w:bottom w:val="nil"/>
              <w:right w:val="nil"/>
            </w:tcBorders>
            <w:vAlign w:val="center"/>
          </w:tcPr>
          <w:p w14:paraId="202423D2">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水电供应要求</w:t>
            </w:r>
          </w:p>
        </w:tc>
      </w:tr>
      <w:tr w14:paraId="391B0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000" w:type="dxa"/>
            <w:tcBorders>
              <w:top w:val="nil"/>
              <w:left w:val="nil"/>
              <w:bottom w:val="nil"/>
              <w:right w:val="nil"/>
            </w:tcBorders>
            <w:vAlign w:val="top"/>
          </w:tcPr>
          <w:p w14:paraId="40C7B1EB">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7.5.1</w:t>
            </w:r>
          </w:p>
        </w:tc>
        <w:tc>
          <w:tcPr>
            <w:tcW w:w="7484" w:type="dxa"/>
            <w:tcBorders>
              <w:top w:val="nil"/>
              <w:left w:val="nil"/>
              <w:bottom w:val="nil"/>
              <w:right w:val="nil"/>
            </w:tcBorders>
            <w:vAlign w:val="center"/>
          </w:tcPr>
          <w:p w14:paraId="1949158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采购人保证成交供应商服务期内的水、电的正常供应，由此产生的费用由采购人负责。</w:t>
            </w:r>
          </w:p>
        </w:tc>
      </w:tr>
      <w:tr w14:paraId="692036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3B93B912">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7.5.2</w:t>
            </w:r>
          </w:p>
        </w:tc>
        <w:tc>
          <w:tcPr>
            <w:tcW w:w="7484" w:type="dxa"/>
            <w:tcBorders>
              <w:top w:val="nil"/>
              <w:left w:val="nil"/>
              <w:bottom w:val="nil"/>
              <w:right w:val="nil"/>
            </w:tcBorders>
            <w:vAlign w:val="center"/>
          </w:tcPr>
          <w:p w14:paraId="62082C51">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成交供应商应本着节约不浪费的原则，做好食堂相关工作。</w:t>
            </w:r>
          </w:p>
        </w:tc>
      </w:tr>
      <w:tr w14:paraId="25FCF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774E15D3">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7.6</w:t>
            </w:r>
          </w:p>
        </w:tc>
        <w:tc>
          <w:tcPr>
            <w:tcW w:w="7484" w:type="dxa"/>
            <w:tcBorders>
              <w:top w:val="nil"/>
              <w:left w:val="nil"/>
              <w:bottom w:val="nil"/>
              <w:right w:val="nil"/>
            </w:tcBorders>
            <w:vAlign w:val="center"/>
          </w:tcPr>
          <w:p w14:paraId="5BFE8DC8">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人员要求</w:t>
            </w:r>
          </w:p>
        </w:tc>
      </w:tr>
      <w:tr w14:paraId="2E5102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29EEC6D1">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7.6.1</w:t>
            </w:r>
          </w:p>
        </w:tc>
        <w:tc>
          <w:tcPr>
            <w:tcW w:w="7484" w:type="dxa"/>
            <w:tcBorders>
              <w:top w:val="nil"/>
              <w:left w:val="nil"/>
              <w:bottom w:val="nil"/>
              <w:right w:val="nil"/>
            </w:tcBorders>
            <w:vAlign w:val="center"/>
          </w:tcPr>
          <w:p w14:paraId="62A2E8A4">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成交供应商须为本项目配备不少于3名员工，五官端正、谈吐清晰，具有一定的文化素质，身体健康；厨师长具有5年或以上相关经验并具有菜品创新能力，厨师和砧板工具有3年或以上相关经验。</w:t>
            </w:r>
          </w:p>
        </w:tc>
      </w:tr>
      <w:tr w14:paraId="3FFFFB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0" w:type="dxa"/>
            <w:tcBorders>
              <w:top w:val="nil"/>
              <w:left w:val="nil"/>
              <w:bottom w:val="nil"/>
              <w:right w:val="nil"/>
            </w:tcBorders>
            <w:vAlign w:val="top"/>
          </w:tcPr>
          <w:p w14:paraId="6F5E77DD">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7.6.2</w:t>
            </w:r>
          </w:p>
        </w:tc>
        <w:tc>
          <w:tcPr>
            <w:tcW w:w="7484" w:type="dxa"/>
            <w:tcBorders>
              <w:top w:val="nil"/>
              <w:left w:val="nil"/>
              <w:bottom w:val="nil"/>
              <w:right w:val="nil"/>
            </w:tcBorders>
            <w:vAlign w:val="center"/>
          </w:tcPr>
          <w:p w14:paraId="23769B20">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厨师熟练掌握多种中式熟食的制作工艺与技能，食堂供应的熟食类菜品，应由厨师在食堂厨房内自主加工制作完成，严格限制直接外购成品熟食（如预包装腊味、卤味、成品凉菜等）作为食堂日常供应的主要来源。特殊情况下（如特定节日特色食品、临时性大量需求补充）可经采购人同意后酌情少量采购合规、安全的品牌成品。</w:t>
            </w:r>
          </w:p>
        </w:tc>
      </w:tr>
      <w:tr w14:paraId="467FE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3E998535">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7.6.3</w:t>
            </w:r>
          </w:p>
        </w:tc>
        <w:tc>
          <w:tcPr>
            <w:tcW w:w="7484" w:type="dxa"/>
            <w:tcBorders>
              <w:top w:val="nil"/>
              <w:left w:val="nil"/>
              <w:bottom w:val="nil"/>
              <w:right w:val="nil"/>
            </w:tcBorders>
            <w:vAlign w:val="center"/>
          </w:tcPr>
          <w:p w14:paraId="47ACC45C">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▲具体岗位及人数如下：</w:t>
            </w:r>
            <w:r>
              <w:rPr>
                <w:rFonts w:hint="eastAsia" w:ascii="仿宋" w:hAnsi="仿宋" w:eastAsia="仿宋" w:cs="仿宋"/>
                <w:b/>
                <w:bCs/>
                <w:color w:val="auto"/>
                <w:sz w:val="24"/>
                <w:szCs w:val="24"/>
                <w:highlight w:val="none"/>
                <w:lang w:val="en-US" w:eastAsia="zh-CN"/>
              </w:rPr>
              <w:t>（提供承诺函，格式自拟）</w:t>
            </w:r>
          </w:p>
        </w:tc>
      </w:tr>
      <w:tr w14:paraId="685D7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484" w:type="dxa"/>
            <w:gridSpan w:val="2"/>
            <w:tcBorders>
              <w:top w:val="nil"/>
              <w:left w:val="nil"/>
              <w:bottom w:val="nil"/>
              <w:right w:val="nil"/>
            </w:tcBorders>
            <w:vAlign w:val="center"/>
          </w:tcPr>
          <w:p w14:paraId="7456B1D5">
            <w:pPr>
              <w:jc w:val="both"/>
              <w:rPr>
                <w:rFonts w:hint="eastAsia" w:ascii="黑体" w:hAnsi="黑体" w:eastAsia="黑体" w:cs="黑体"/>
                <w:b/>
                <w:bCs/>
                <w:color w:val="C00000"/>
                <w:sz w:val="24"/>
                <w:szCs w:val="24"/>
                <w:highlight w:val="none"/>
                <w:lang w:val="en-US" w:eastAsia="zh-CN"/>
              </w:rPr>
            </w:pPr>
          </w:p>
          <w:tbl>
            <w:tblPr>
              <w:tblStyle w:val="4"/>
              <w:tblW w:w="8303" w:type="dxa"/>
              <w:tblInd w:w="0" w:type="dxa"/>
              <w:tblLayout w:type="fixed"/>
              <w:tblCellMar>
                <w:top w:w="0" w:type="dxa"/>
                <w:left w:w="108" w:type="dxa"/>
                <w:bottom w:w="0" w:type="dxa"/>
                <w:right w:w="108" w:type="dxa"/>
              </w:tblCellMar>
            </w:tblPr>
            <w:tblGrid>
              <w:gridCol w:w="746"/>
              <w:gridCol w:w="900"/>
              <w:gridCol w:w="840"/>
              <w:gridCol w:w="5817"/>
            </w:tblGrid>
            <w:tr w14:paraId="38EAE9A8">
              <w:tblPrEx>
                <w:tblCellMar>
                  <w:top w:w="0" w:type="dxa"/>
                  <w:left w:w="108" w:type="dxa"/>
                  <w:bottom w:w="0" w:type="dxa"/>
                  <w:right w:w="108" w:type="dxa"/>
                </w:tblCellMar>
              </w:tblPrEx>
              <w:tc>
                <w:tcPr>
                  <w:tcW w:w="7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4CA6775">
                  <w:pPr>
                    <w:pStyle w:val="8"/>
                    <w:spacing w:line="360" w:lineRule="auto"/>
                    <w:jc w:val="center"/>
                    <w:rPr>
                      <w:rFonts w:hint="eastAsia" w:ascii="仿宋" w:hAnsi="仿宋" w:eastAsia="仿宋" w:cs="仿宋"/>
                      <w:sz w:val="24"/>
                      <w:szCs w:val="24"/>
                    </w:rPr>
                  </w:pPr>
                  <w:r>
                    <w:rPr>
                      <w:rFonts w:hint="eastAsia" w:ascii="仿宋" w:hAnsi="仿宋" w:eastAsia="仿宋" w:cs="仿宋"/>
                      <w:b/>
                      <w:color w:val="000000"/>
                      <w:sz w:val="24"/>
                      <w:szCs w:val="24"/>
                    </w:rPr>
                    <w:t>序号</w:t>
                  </w:r>
                </w:p>
              </w:tc>
              <w:tc>
                <w:tcPr>
                  <w:tcW w:w="90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1C4677C1">
                  <w:pPr>
                    <w:pStyle w:val="8"/>
                    <w:spacing w:line="360" w:lineRule="auto"/>
                    <w:jc w:val="center"/>
                    <w:rPr>
                      <w:rFonts w:hint="eastAsia" w:ascii="仿宋" w:hAnsi="仿宋" w:eastAsia="仿宋" w:cs="仿宋"/>
                      <w:sz w:val="24"/>
                      <w:szCs w:val="24"/>
                    </w:rPr>
                  </w:pPr>
                  <w:r>
                    <w:rPr>
                      <w:rFonts w:hint="eastAsia" w:ascii="仿宋" w:hAnsi="仿宋" w:eastAsia="仿宋" w:cs="仿宋"/>
                      <w:b/>
                      <w:color w:val="000000"/>
                      <w:sz w:val="24"/>
                      <w:szCs w:val="24"/>
                    </w:rPr>
                    <w:t>岗位名称</w:t>
                  </w:r>
                </w:p>
              </w:tc>
              <w:tc>
                <w:tcPr>
                  <w:tcW w:w="84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DA27083">
                  <w:pPr>
                    <w:pStyle w:val="8"/>
                    <w:spacing w:line="360" w:lineRule="auto"/>
                    <w:jc w:val="center"/>
                    <w:rPr>
                      <w:rFonts w:hint="eastAsia" w:ascii="仿宋" w:hAnsi="仿宋" w:eastAsia="仿宋" w:cs="仿宋"/>
                      <w:sz w:val="24"/>
                      <w:szCs w:val="24"/>
                    </w:rPr>
                  </w:pPr>
                  <w:r>
                    <w:rPr>
                      <w:rFonts w:hint="eastAsia" w:ascii="仿宋" w:hAnsi="仿宋" w:eastAsia="仿宋" w:cs="仿宋"/>
                      <w:b/>
                      <w:color w:val="000000"/>
                      <w:sz w:val="24"/>
                      <w:szCs w:val="24"/>
                    </w:rPr>
                    <w:t>人数</w:t>
                  </w:r>
                </w:p>
              </w:tc>
              <w:tc>
                <w:tcPr>
                  <w:tcW w:w="5817"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41264FB">
                  <w:pPr>
                    <w:pStyle w:val="8"/>
                    <w:spacing w:line="360" w:lineRule="auto"/>
                    <w:jc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服务内容</w:t>
                  </w:r>
                </w:p>
              </w:tc>
            </w:tr>
            <w:tr w14:paraId="1B6331A0">
              <w:tblPrEx>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C6ABB6B">
                  <w:pPr>
                    <w:pStyle w:val="8"/>
                    <w:spacing w:line="360" w:lineRule="auto"/>
                    <w:jc w:val="center"/>
                    <w:rPr>
                      <w:rFonts w:hint="eastAsia" w:ascii="仿宋" w:hAnsi="仿宋" w:eastAsia="仿宋" w:cs="仿宋"/>
                      <w:sz w:val="24"/>
                      <w:szCs w:val="24"/>
                    </w:rPr>
                  </w:pPr>
                  <w:r>
                    <w:rPr>
                      <w:rFonts w:hint="eastAsia" w:ascii="仿宋" w:hAnsi="仿宋" w:eastAsia="仿宋" w:cs="仿宋"/>
                      <w:color w:val="000000"/>
                      <w:sz w:val="24"/>
                      <w:szCs w:val="24"/>
                    </w:rPr>
                    <w:t>1</w:t>
                  </w:r>
                </w:p>
              </w:tc>
              <w:tc>
                <w:tcPr>
                  <w:tcW w:w="9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CB6FD2">
                  <w:pPr>
                    <w:pStyle w:val="8"/>
                    <w:spacing w:line="360" w:lineRule="auto"/>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lang w:eastAsia="zh-CN"/>
                    </w:rPr>
                    <w:t>厨师长</w:t>
                  </w:r>
                </w:p>
              </w:tc>
              <w:tc>
                <w:tcPr>
                  <w:tcW w:w="8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55CF6F">
                  <w:pPr>
                    <w:pStyle w:val="8"/>
                    <w:spacing w:line="360" w:lineRule="auto"/>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1</w:t>
                  </w:r>
                </w:p>
              </w:tc>
              <w:tc>
                <w:tcPr>
                  <w:tcW w:w="5817" w:type="dxa"/>
                  <w:tcBorders>
                    <w:top w:val="nil"/>
                    <w:left w:val="nil"/>
                    <w:bottom w:val="single" w:color="000000" w:sz="4" w:space="0"/>
                    <w:right w:val="single" w:color="000000" w:sz="4" w:space="0"/>
                  </w:tcBorders>
                  <w:tcMar>
                    <w:top w:w="0" w:type="dxa"/>
                    <w:left w:w="105" w:type="dxa"/>
                    <w:bottom w:w="0" w:type="dxa"/>
                    <w:right w:w="105" w:type="dxa"/>
                  </w:tcMar>
                </w:tcPr>
                <w:p w14:paraId="1C21F9EC">
                  <w:pPr>
                    <w:pStyle w:val="8"/>
                    <w:spacing w:line="360" w:lineRule="auto"/>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（1）负责服务本项目的管理工作，包括但不限于日常管理、定期检查（每日）、沟通、考勤、事务协调处理、员工每月的考核培训等。</w:t>
                  </w:r>
                </w:p>
                <w:p w14:paraId="1925C7A8">
                  <w:pPr>
                    <w:pStyle w:val="8"/>
                    <w:spacing w:line="360" w:lineRule="auto"/>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（2）负责服务点的厨房运作及行政事务，确保厨房工作的正常运行。</w:t>
                  </w:r>
                </w:p>
                <w:p w14:paraId="100D224F">
                  <w:pPr>
                    <w:pStyle w:val="8"/>
                    <w:spacing w:line="360" w:lineRule="auto"/>
                    <w:jc w:val="both"/>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val="en-US" w:eastAsia="zh-CN"/>
                    </w:rPr>
                    <w:t>负责服务点每餐各式菜肴的烹饪制作，包括但不限于粤菜、湘菜、川菜或其它地方特色菜式等。。</w:t>
                  </w:r>
                </w:p>
                <w:p w14:paraId="4EE8511D">
                  <w:pPr>
                    <w:pStyle w:val="8"/>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（4）熟悉和掌握各式菜肴、煎扒类、烧腊（如叉烧、烧鸭、烧肉、烧鹅）的烹饪方法和技术，每个品种需做到色、香、味、形均符合既定标准。</w:t>
                  </w:r>
                </w:p>
                <w:p w14:paraId="026640F3">
                  <w:pPr>
                    <w:pStyle w:val="8"/>
                    <w:spacing w:line="360" w:lineRule="auto"/>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负责制订厨房的各种工作计划，包括日常菜品安排、菜品研发（每月推出2个或以上新品）、原料计划、人员定期培训（每月至少一次）。</w:t>
                  </w:r>
                </w:p>
                <w:p w14:paraId="1FE56E4B">
                  <w:pPr>
                    <w:pStyle w:val="8"/>
                    <w:spacing w:line="360" w:lineRule="auto"/>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）每日进行现场巡视，对员工进行实时督导，确保及时解决现场发生问题。</w:t>
                  </w:r>
                </w:p>
                <w:p w14:paraId="75769107">
                  <w:pPr>
                    <w:pStyle w:val="8"/>
                    <w:spacing w:line="360" w:lineRule="auto"/>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7</w:t>
                  </w:r>
                  <w:r>
                    <w:rPr>
                      <w:rFonts w:hint="eastAsia" w:ascii="仿宋" w:hAnsi="仿宋" w:eastAsia="仿宋" w:cs="仿宋"/>
                      <w:color w:val="000000"/>
                      <w:sz w:val="24"/>
                      <w:szCs w:val="24"/>
                      <w:highlight w:val="none"/>
                    </w:rPr>
                    <w:t>）每日检查厨房卫生，严格把好食品卫生</w:t>
                  </w:r>
                  <w:r>
                    <w:rPr>
                      <w:rFonts w:hint="eastAsia" w:ascii="仿宋" w:hAnsi="仿宋" w:eastAsia="仿宋" w:cs="仿宋"/>
                      <w:color w:val="000000"/>
                      <w:sz w:val="24"/>
                      <w:szCs w:val="24"/>
                      <w:highlight w:val="none"/>
                      <w:lang w:val="en-US" w:eastAsia="zh-CN"/>
                    </w:rPr>
                    <w:t>和安全生产的</w:t>
                  </w:r>
                  <w:r>
                    <w:rPr>
                      <w:rFonts w:hint="eastAsia" w:ascii="仿宋" w:hAnsi="仿宋" w:eastAsia="仿宋" w:cs="仿宋"/>
                      <w:color w:val="000000"/>
                      <w:sz w:val="24"/>
                      <w:szCs w:val="24"/>
                      <w:highlight w:val="none"/>
                    </w:rPr>
                    <w:t>安全关，确保贯彻食品卫生和厨房卫生制度，达到卫生检查标准100%合格。</w:t>
                  </w:r>
                </w:p>
                <w:p w14:paraId="061B695E">
                  <w:pPr>
                    <w:pStyle w:val="8"/>
                    <w:spacing w:line="360" w:lineRule="auto"/>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rPr>
                    <w:t>）完成部门交办的其他任务，确保按时按质完成任务率达100%。</w:t>
                  </w:r>
                </w:p>
              </w:tc>
            </w:tr>
            <w:tr w14:paraId="4C673DD7">
              <w:tblPrEx>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7B161E">
                  <w:pPr>
                    <w:pStyle w:val="8"/>
                    <w:spacing w:line="360" w:lineRule="auto"/>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2</w:t>
                  </w:r>
                </w:p>
              </w:tc>
              <w:tc>
                <w:tcPr>
                  <w:tcW w:w="9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CE914F">
                  <w:pPr>
                    <w:pStyle w:val="8"/>
                    <w:spacing w:line="360" w:lineRule="auto"/>
                    <w:jc w:val="center"/>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厨师</w:t>
                  </w:r>
                </w:p>
              </w:tc>
              <w:tc>
                <w:tcPr>
                  <w:tcW w:w="8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DC19E2">
                  <w:pPr>
                    <w:pStyle w:val="8"/>
                    <w:spacing w:line="360" w:lineRule="auto"/>
                    <w:jc w:val="center"/>
                    <w:rPr>
                      <w:rFonts w:hint="eastAsia" w:ascii="仿宋" w:hAnsi="仿宋" w:eastAsia="仿宋" w:cs="仿宋"/>
                      <w:sz w:val="24"/>
                      <w:szCs w:val="24"/>
                      <w:highlight w:val="none"/>
                      <w:lang w:eastAsia="zh-CN"/>
                    </w:rPr>
                  </w:pPr>
                  <w:r>
                    <w:rPr>
                      <w:rFonts w:hint="eastAsia" w:ascii="仿宋" w:hAnsi="仿宋" w:eastAsia="仿宋" w:cs="仿宋"/>
                      <w:color w:val="000000"/>
                      <w:sz w:val="24"/>
                      <w:szCs w:val="24"/>
                      <w:highlight w:val="none"/>
                      <w:lang w:val="en-US" w:eastAsia="zh-CN"/>
                    </w:rPr>
                    <w:t>1</w:t>
                  </w:r>
                </w:p>
              </w:tc>
              <w:tc>
                <w:tcPr>
                  <w:tcW w:w="5817" w:type="dxa"/>
                  <w:tcBorders>
                    <w:top w:val="nil"/>
                    <w:left w:val="nil"/>
                    <w:bottom w:val="single" w:color="000000" w:sz="4" w:space="0"/>
                    <w:right w:val="single" w:color="000000" w:sz="4" w:space="0"/>
                  </w:tcBorders>
                  <w:tcMar>
                    <w:top w:w="0" w:type="dxa"/>
                    <w:left w:w="105" w:type="dxa"/>
                    <w:bottom w:w="0" w:type="dxa"/>
                    <w:right w:w="105" w:type="dxa"/>
                  </w:tcMar>
                </w:tcPr>
                <w:p w14:paraId="4F4167D1">
                  <w:pPr>
                    <w:pStyle w:val="8"/>
                    <w:numPr>
                      <w:ilvl w:val="0"/>
                      <w:numId w:val="2"/>
                    </w:numPr>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负责服务点每餐各式菜肴的烹饪制作，包括但不限于粤菜、湘菜、川菜或其它地方特色菜式等。</w:t>
                  </w:r>
                </w:p>
                <w:p w14:paraId="408EEA47">
                  <w:pPr>
                    <w:pStyle w:val="8"/>
                    <w:numPr>
                      <w:ilvl w:val="0"/>
                      <w:numId w:val="0"/>
                    </w:numPr>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（2）熟悉和掌握各式菜肴、煎扒类、烧腊（如叉烧、烧鸭、烧肉、烧鹅）的烹饪方法和技术，每个品种需做到色、香、味、形均符合既定标准。</w:t>
                  </w:r>
                </w:p>
                <w:p w14:paraId="1861E455">
                  <w:pPr>
                    <w:pStyle w:val="8"/>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（3）加强专业技能学习，不断创新、改进菜式品种，每月推出不少于2个或以上新品或改进的菜式品种。</w:t>
                  </w:r>
                </w:p>
                <w:p w14:paraId="24DF747D">
                  <w:pPr>
                    <w:pStyle w:val="8"/>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（4）每日做好服务区域卫生清洁、规范使用食堂设备、设施、工具、用品等规范使用率达到100%。同时，保持良好的仪容仪表和工作作风。</w:t>
                  </w:r>
                  <w:r>
                    <w:rPr>
                      <w:rFonts w:hint="eastAsia" w:ascii="仿宋" w:hAnsi="仿宋" w:eastAsia="仿宋" w:cs="仿宋"/>
                      <w:color w:val="000000"/>
                      <w:sz w:val="24"/>
                      <w:szCs w:val="24"/>
                      <w:highlight w:val="none"/>
                    </w:rPr>
                    <w:t>严格把好食品卫生</w:t>
                  </w:r>
                  <w:r>
                    <w:rPr>
                      <w:rFonts w:hint="eastAsia" w:ascii="仿宋" w:hAnsi="仿宋" w:eastAsia="仿宋" w:cs="仿宋"/>
                      <w:color w:val="000000"/>
                      <w:sz w:val="24"/>
                      <w:szCs w:val="24"/>
                      <w:highlight w:val="none"/>
                      <w:lang w:val="en-US" w:eastAsia="zh-CN"/>
                    </w:rPr>
                    <w:t>和安全生产的</w:t>
                  </w:r>
                  <w:r>
                    <w:rPr>
                      <w:rFonts w:hint="eastAsia" w:ascii="仿宋" w:hAnsi="仿宋" w:eastAsia="仿宋" w:cs="仿宋"/>
                      <w:color w:val="000000"/>
                      <w:sz w:val="24"/>
                      <w:szCs w:val="24"/>
                      <w:highlight w:val="none"/>
                    </w:rPr>
                    <w:t>安全关</w:t>
                  </w:r>
                  <w:r>
                    <w:rPr>
                      <w:rFonts w:hint="eastAsia" w:ascii="仿宋" w:hAnsi="仿宋" w:eastAsia="仿宋" w:cs="仿宋"/>
                      <w:color w:val="000000"/>
                      <w:sz w:val="24"/>
                      <w:szCs w:val="24"/>
                      <w:highlight w:val="none"/>
                      <w:lang w:eastAsia="zh-CN"/>
                    </w:rPr>
                    <w:t>。</w:t>
                  </w:r>
                </w:p>
                <w:p w14:paraId="0F77C120">
                  <w:pPr>
                    <w:pStyle w:val="8"/>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（5）完成部门交办的其他任务，确保按时按质完成任务率达100%。</w:t>
                  </w:r>
                </w:p>
              </w:tc>
            </w:tr>
            <w:tr w14:paraId="286AB385">
              <w:tblPrEx>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4B4D465">
                  <w:pPr>
                    <w:pStyle w:val="8"/>
                    <w:spacing w:line="360" w:lineRule="auto"/>
                    <w:jc w:val="center"/>
                    <w:rPr>
                      <w:rFonts w:hint="eastAsia" w:ascii="仿宋" w:hAnsi="仿宋" w:eastAsia="仿宋" w:cs="仿宋"/>
                      <w:sz w:val="24"/>
                      <w:szCs w:val="24"/>
                      <w:highlight w:val="none"/>
                      <w:lang w:eastAsia="zh-CN"/>
                    </w:rPr>
                  </w:pPr>
                  <w:r>
                    <w:rPr>
                      <w:rFonts w:hint="eastAsia" w:ascii="仿宋" w:hAnsi="仿宋" w:eastAsia="仿宋" w:cs="仿宋"/>
                      <w:color w:val="000000"/>
                      <w:sz w:val="24"/>
                      <w:szCs w:val="24"/>
                      <w:highlight w:val="none"/>
                      <w:lang w:val="en-US" w:eastAsia="zh-CN"/>
                    </w:rPr>
                    <w:t>3</w:t>
                  </w:r>
                </w:p>
              </w:tc>
              <w:tc>
                <w:tcPr>
                  <w:tcW w:w="9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5B4134">
                  <w:pPr>
                    <w:pStyle w:val="8"/>
                    <w:spacing w:line="360" w:lineRule="auto"/>
                    <w:jc w:val="center"/>
                    <w:rPr>
                      <w:rFonts w:hint="eastAsia" w:ascii="仿宋" w:hAnsi="仿宋" w:eastAsia="仿宋" w:cs="仿宋"/>
                      <w:sz w:val="24"/>
                      <w:szCs w:val="24"/>
                      <w:highlight w:val="none"/>
                      <w:lang w:eastAsia="zh-CN"/>
                    </w:rPr>
                  </w:pPr>
                  <w:r>
                    <w:rPr>
                      <w:rFonts w:hint="eastAsia" w:ascii="仿宋" w:hAnsi="仿宋" w:eastAsia="仿宋" w:cs="仿宋"/>
                      <w:color w:val="000000"/>
                      <w:sz w:val="24"/>
                      <w:szCs w:val="24"/>
                      <w:highlight w:val="none"/>
                      <w:lang w:eastAsia="zh-CN"/>
                    </w:rPr>
                    <w:t>砧板</w:t>
                  </w:r>
                  <w:r>
                    <w:rPr>
                      <w:rFonts w:hint="eastAsia" w:ascii="仿宋" w:hAnsi="仿宋" w:eastAsia="仿宋" w:cs="仿宋"/>
                      <w:b w:val="0"/>
                      <w:bCs w:val="0"/>
                      <w:color w:val="auto"/>
                      <w:sz w:val="24"/>
                      <w:szCs w:val="24"/>
                      <w:highlight w:val="none"/>
                      <w:lang w:val="en-US" w:eastAsia="zh-CN"/>
                    </w:rPr>
                    <w:t>工</w:t>
                  </w:r>
                </w:p>
              </w:tc>
              <w:tc>
                <w:tcPr>
                  <w:tcW w:w="8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3E1579">
                  <w:pPr>
                    <w:pStyle w:val="8"/>
                    <w:spacing w:line="360" w:lineRule="auto"/>
                    <w:jc w:val="center"/>
                    <w:rPr>
                      <w:rFonts w:hint="eastAsia" w:ascii="仿宋" w:hAnsi="仿宋" w:eastAsia="仿宋" w:cs="仿宋"/>
                      <w:sz w:val="24"/>
                      <w:szCs w:val="24"/>
                      <w:highlight w:val="none"/>
                      <w:lang w:eastAsia="zh-CN"/>
                    </w:rPr>
                  </w:pPr>
                  <w:r>
                    <w:rPr>
                      <w:rFonts w:hint="eastAsia" w:ascii="仿宋" w:hAnsi="仿宋" w:eastAsia="仿宋" w:cs="仿宋"/>
                      <w:color w:val="000000"/>
                      <w:sz w:val="24"/>
                      <w:szCs w:val="24"/>
                      <w:highlight w:val="none"/>
                      <w:lang w:val="en-US" w:eastAsia="zh-CN"/>
                    </w:rPr>
                    <w:t>1</w:t>
                  </w:r>
                </w:p>
              </w:tc>
              <w:tc>
                <w:tcPr>
                  <w:tcW w:w="5817" w:type="dxa"/>
                  <w:tcBorders>
                    <w:top w:val="nil"/>
                    <w:left w:val="nil"/>
                    <w:bottom w:val="single" w:color="000000" w:sz="4" w:space="0"/>
                    <w:right w:val="single" w:color="000000" w:sz="4" w:space="0"/>
                  </w:tcBorders>
                  <w:tcMar>
                    <w:top w:w="0" w:type="dxa"/>
                    <w:left w:w="105" w:type="dxa"/>
                    <w:bottom w:w="0" w:type="dxa"/>
                    <w:right w:w="105" w:type="dxa"/>
                  </w:tcMar>
                </w:tcPr>
                <w:p w14:paraId="714F206E">
                  <w:pPr>
                    <w:pStyle w:val="8"/>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（1）负责服务点食材的清洗、加工、切配、协助烹饪等工作。</w:t>
                  </w:r>
                </w:p>
                <w:p w14:paraId="06F4166F">
                  <w:pPr>
                    <w:pStyle w:val="8"/>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（2）加强专业技能学习，不断创新、改进刀工花样。</w:t>
                  </w:r>
                </w:p>
                <w:p w14:paraId="5A636A44">
                  <w:pPr>
                    <w:pStyle w:val="8"/>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（3）每日做好服务区域卫生清洁、规范使用食堂设备、设施、工具、用品等规范使用率达到100%。同时，保持良好的仪容仪表和工作作风。</w:t>
                  </w:r>
                  <w:r>
                    <w:rPr>
                      <w:rFonts w:hint="eastAsia" w:ascii="仿宋" w:hAnsi="仿宋" w:eastAsia="仿宋" w:cs="仿宋"/>
                      <w:color w:val="000000"/>
                      <w:sz w:val="24"/>
                      <w:szCs w:val="24"/>
                      <w:highlight w:val="none"/>
                    </w:rPr>
                    <w:t>严格把好食品卫生</w:t>
                  </w:r>
                  <w:r>
                    <w:rPr>
                      <w:rFonts w:hint="eastAsia" w:ascii="仿宋" w:hAnsi="仿宋" w:eastAsia="仿宋" w:cs="仿宋"/>
                      <w:color w:val="000000"/>
                      <w:sz w:val="24"/>
                      <w:szCs w:val="24"/>
                      <w:highlight w:val="none"/>
                      <w:lang w:val="en-US" w:eastAsia="zh-CN"/>
                    </w:rPr>
                    <w:t>和安全生产的</w:t>
                  </w:r>
                  <w:r>
                    <w:rPr>
                      <w:rFonts w:hint="eastAsia" w:ascii="仿宋" w:hAnsi="仿宋" w:eastAsia="仿宋" w:cs="仿宋"/>
                      <w:color w:val="000000"/>
                      <w:sz w:val="24"/>
                      <w:szCs w:val="24"/>
                      <w:highlight w:val="none"/>
                    </w:rPr>
                    <w:t>安全关</w:t>
                  </w:r>
                  <w:r>
                    <w:rPr>
                      <w:rFonts w:hint="eastAsia" w:ascii="仿宋" w:hAnsi="仿宋" w:eastAsia="仿宋" w:cs="仿宋"/>
                      <w:color w:val="000000"/>
                      <w:sz w:val="24"/>
                      <w:szCs w:val="24"/>
                      <w:highlight w:val="none"/>
                      <w:lang w:eastAsia="zh-CN"/>
                    </w:rPr>
                    <w:t>。</w:t>
                  </w:r>
                </w:p>
                <w:p w14:paraId="7CB467E1">
                  <w:pPr>
                    <w:pStyle w:val="8"/>
                    <w:spacing w:line="360" w:lineRule="auto"/>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（4）完成部门交办的其他任务，确保按时按质完成任务率达100%。</w:t>
                  </w:r>
                </w:p>
              </w:tc>
            </w:tr>
            <w:tr w14:paraId="350BD5EC">
              <w:tblPrEx>
                <w:tblCellMar>
                  <w:top w:w="0" w:type="dxa"/>
                  <w:left w:w="108" w:type="dxa"/>
                  <w:bottom w:w="0" w:type="dxa"/>
                  <w:right w:w="108" w:type="dxa"/>
                </w:tblCellMar>
              </w:tblPrEx>
              <w:tc>
                <w:tcPr>
                  <w:tcW w:w="1646"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B02C28">
                  <w:pPr>
                    <w:pStyle w:val="8"/>
                    <w:spacing w:line="360" w:lineRule="auto"/>
                    <w:jc w:val="center"/>
                    <w:rPr>
                      <w:rFonts w:hint="eastAsia" w:ascii="仿宋" w:hAnsi="仿宋" w:eastAsia="仿宋" w:cs="仿宋"/>
                      <w:sz w:val="24"/>
                      <w:szCs w:val="24"/>
                    </w:rPr>
                  </w:pPr>
                  <w:r>
                    <w:rPr>
                      <w:rFonts w:hint="eastAsia" w:ascii="仿宋" w:hAnsi="仿宋" w:eastAsia="仿宋" w:cs="仿宋"/>
                      <w:color w:val="000000"/>
                      <w:sz w:val="24"/>
                      <w:szCs w:val="24"/>
                    </w:rPr>
                    <w:t>小计</w:t>
                  </w:r>
                </w:p>
              </w:tc>
              <w:tc>
                <w:tcPr>
                  <w:tcW w:w="840" w:type="dxa"/>
                  <w:tcBorders>
                    <w:top w:val="nil"/>
                    <w:left w:val="nil"/>
                    <w:bottom w:val="single" w:color="000000" w:sz="4" w:space="0"/>
                    <w:right w:val="single" w:color="000000" w:sz="4" w:space="0"/>
                  </w:tcBorders>
                  <w:tcMar>
                    <w:top w:w="0" w:type="dxa"/>
                    <w:left w:w="105" w:type="dxa"/>
                    <w:bottom w:w="0" w:type="dxa"/>
                    <w:right w:w="105" w:type="dxa"/>
                  </w:tcMar>
                </w:tcPr>
                <w:p w14:paraId="13333C25">
                  <w:pPr>
                    <w:pStyle w:val="8"/>
                    <w:spacing w:line="360" w:lineRule="auto"/>
                    <w:jc w:val="center"/>
                    <w:rPr>
                      <w:rFonts w:hint="eastAsia" w:ascii="仿宋" w:hAnsi="仿宋" w:eastAsia="仿宋" w:cs="仿宋"/>
                      <w:sz w:val="24"/>
                      <w:szCs w:val="24"/>
                      <w:lang w:eastAsia="zh-CN"/>
                    </w:rPr>
                  </w:pPr>
                  <w:r>
                    <w:rPr>
                      <w:rFonts w:hint="eastAsia" w:ascii="仿宋" w:hAnsi="仿宋" w:eastAsia="仿宋" w:cs="仿宋"/>
                      <w:color w:val="000000"/>
                      <w:sz w:val="24"/>
                      <w:szCs w:val="24"/>
                      <w:lang w:val="en-US" w:eastAsia="zh-CN"/>
                    </w:rPr>
                    <w:t>3</w:t>
                  </w:r>
                </w:p>
              </w:tc>
              <w:tc>
                <w:tcPr>
                  <w:tcW w:w="5817" w:type="dxa"/>
                  <w:tcBorders>
                    <w:top w:val="nil"/>
                    <w:left w:val="nil"/>
                    <w:bottom w:val="single" w:color="000000" w:sz="4" w:space="0"/>
                    <w:right w:val="single" w:color="000000" w:sz="4" w:space="0"/>
                  </w:tcBorders>
                  <w:tcMar>
                    <w:top w:w="0" w:type="dxa"/>
                    <w:left w:w="105" w:type="dxa"/>
                    <w:bottom w:w="0" w:type="dxa"/>
                    <w:right w:w="105" w:type="dxa"/>
                  </w:tcMar>
                </w:tcPr>
                <w:p w14:paraId="60CFB22F">
                  <w:pPr>
                    <w:pStyle w:val="8"/>
                    <w:spacing w:line="360" w:lineRule="auto"/>
                    <w:jc w:val="center"/>
                    <w:rPr>
                      <w:rFonts w:hint="eastAsia" w:ascii="仿宋" w:hAnsi="仿宋" w:eastAsia="仿宋" w:cs="仿宋"/>
                      <w:color w:val="000000"/>
                      <w:sz w:val="24"/>
                      <w:szCs w:val="24"/>
                      <w:lang w:val="en-US" w:eastAsia="zh-CN"/>
                    </w:rPr>
                  </w:pPr>
                </w:p>
              </w:tc>
            </w:tr>
          </w:tbl>
          <w:p w14:paraId="713522F7">
            <w:pPr>
              <w:jc w:val="both"/>
              <w:rPr>
                <w:rFonts w:hint="eastAsia" w:ascii="黑体" w:hAnsi="黑体" w:eastAsia="黑体" w:cs="黑体"/>
                <w:b/>
                <w:bCs/>
                <w:color w:val="C00000"/>
                <w:sz w:val="28"/>
                <w:szCs w:val="28"/>
                <w:highlight w:val="none"/>
                <w:lang w:val="en-US" w:eastAsia="zh-CN"/>
              </w:rPr>
            </w:pPr>
          </w:p>
        </w:tc>
      </w:tr>
      <w:tr w14:paraId="756B9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43359CE">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7.6.4</w:t>
            </w:r>
          </w:p>
        </w:tc>
        <w:tc>
          <w:tcPr>
            <w:tcW w:w="7484" w:type="dxa"/>
            <w:tcBorders>
              <w:top w:val="nil"/>
              <w:left w:val="nil"/>
              <w:bottom w:val="nil"/>
              <w:right w:val="nil"/>
            </w:tcBorders>
            <w:vAlign w:val="center"/>
          </w:tcPr>
          <w:p w14:paraId="5D68C7D5">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成交供应商应对拟派驻本项目的所有工作人员进行思想品德和职业素养审查，确保全体人员品行端正、作风正派，无不良从业记录，适合从事餐饮服务工作。</w:t>
            </w:r>
          </w:p>
        </w:tc>
      </w:tr>
      <w:tr w14:paraId="47D21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20987B5D">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7.6.5</w:t>
            </w:r>
          </w:p>
        </w:tc>
        <w:tc>
          <w:tcPr>
            <w:tcW w:w="7484" w:type="dxa"/>
            <w:tcBorders>
              <w:top w:val="nil"/>
              <w:left w:val="nil"/>
              <w:bottom w:val="nil"/>
              <w:right w:val="nil"/>
            </w:tcBorders>
            <w:vAlign w:val="center"/>
          </w:tcPr>
          <w:p w14:paraId="5C2CB228">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★成交供应商承诺入职本项目的人员持有效健康证明上岗工作，入职时提交健康证明复印件给采购人备案，且在岗期间须保持健康证明在有效期内。</w:t>
            </w:r>
            <w:r>
              <w:rPr>
                <w:rFonts w:hint="eastAsia" w:ascii="仿宋" w:hAnsi="仿宋" w:eastAsia="仿宋" w:cs="仿宋"/>
                <w:b/>
                <w:bCs/>
                <w:color w:val="auto"/>
                <w:sz w:val="24"/>
                <w:szCs w:val="24"/>
                <w:highlight w:val="none"/>
                <w:lang w:val="en-US" w:eastAsia="zh-CN"/>
              </w:rPr>
              <w:t>（提供承诺函，格式自拟）</w:t>
            </w:r>
          </w:p>
        </w:tc>
      </w:tr>
      <w:tr w14:paraId="6EA39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0B314ED6">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7.6.6</w:t>
            </w:r>
          </w:p>
        </w:tc>
        <w:tc>
          <w:tcPr>
            <w:tcW w:w="7484" w:type="dxa"/>
            <w:tcBorders>
              <w:top w:val="nil"/>
              <w:left w:val="nil"/>
              <w:bottom w:val="nil"/>
              <w:right w:val="nil"/>
            </w:tcBorders>
            <w:vAlign w:val="center"/>
          </w:tcPr>
          <w:p w14:paraId="25F7730D">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厨师长和厨师配备合理，可以满足采购人要求的多种菜式口味。厨师长须持有人社部门颁发的高级（三级）或以上中式烹调师职业资格证书或在人社部门备案的职业技能等级认定机构颁发的高级（三级）或以上中式烹调师职业技能等级证书上岗，中厨厨师须持有人社部门颁发的中级（四级）或以上中式烹调师职业资格证书或在人社部门备案的职业技能等级认定机构颁发的中级（四级）或以上中式烹调师职业技能等级证书上岗，入职时提交复印件给采购人备案。</w:t>
            </w:r>
            <w:r>
              <w:rPr>
                <w:rFonts w:hint="eastAsia" w:ascii="仿宋" w:hAnsi="仿宋" w:eastAsia="仿宋" w:cs="仿宋"/>
                <w:b/>
                <w:bCs/>
                <w:color w:val="auto"/>
                <w:sz w:val="24"/>
                <w:szCs w:val="24"/>
                <w:highlight w:val="none"/>
                <w:lang w:val="en-US" w:eastAsia="zh-CN"/>
              </w:rPr>
              <w:t>（同时提供证书以及承诺函，格式自拟）</w:t>
            </w:r>
          </w:p>
        </w:tc>
      </w:tr>
      <w:tr w14:paraId="35DA7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145CD7F">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7.6.7</w:t>
            </w:r>
          </w:p>
        </w:tc>
        <w:tc>
          <w:tcPr>
            <w:tcW w:w="7484" w:type="dxa"/>
            <w:tcBorders>
              <w:top w:val="nil"/>
              <w:left w:val="nil"/>
              <w:bottom w:val="nil"/>
              <w:right w:val="nil"/>
            </w:tcBorders>
            <w:vAlign w:val="center"/>
          </w:tcPr>
          <w:p w14:paraId="5F2E2288">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★成交供应商人员变动时，需提前3个工作日向采购人报告。</w:t>
            </w:r>
            <w:r>
              <w:rPr>
                <w:rFonts w:hint="eastAsia" w:ascii="仿宋" w:hAnsi="仿宋" w:eastAsia="仿宋" w:cs="仿宋"/>
                <w:b/>
                <w:bCs/>
                <w:color w:val="auto"/>
                <w:sz w:val="24"/>
                <w:szCs w:val="24"/>
                <w:highlight w:val="none"/>
                <w:lang w:val="en-US" w:eastAsia="zh-CN"/>
              </w:rPr>
              <w:t>（提供承诺函，格式自拟）</w:t>
            </w:r>
          </w:p>
        </w:tc>
      </w:tr>
      <w:tr w14:paraId="317A23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E7E40C1">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7.6.8</w:t>
            </w:r>
          </w:p>
        </w:tc>
        <w:tc>
          <w:tcPr>
            <w:tcW w:w="7484" w:type="dxa"/>
            <w:tcBorders>
              <w:top w:val="nil"/>
              <w:left w:val="nil"/>
              <w:bottom w:val="nil"/>
              <w:right w:val="nil"/>
            </w:tcBorders>
            <w:vAlign w:val="center"/>
          </w:tcPr>
          <w:p w14:paraId="4B048AE5">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▲成交供应商工作人员要身份明确、品行端正、身体健康、服务态度诚恳、讲究公共和个人卫生，工作时间所有工作人员必须统一着装（帽子、围裙、衣服等）。</w:t>
            </w:r>
            <w:r>
              <w:rPr>
                <w:rFonts w:hint="eastAsia" w:ascii="仿宋" w:hAnsi="仿宋" w:eastAsia="仿宋" w:cs="仿宋"/>
                <w:b/>
                <w:bCs/>
                <w:color w:val="auto"/>
                <w:sz w:val="24"/>
                <w:szCs w:val="24"/>
                <w:highlight w:val="none"/>
                <w:lang w:val="en-US" w:eastAsia="zh-CN"/>
              </w:rPr>
              <w:t>（提供承诺函，格式自拟）</w:t>
            </w:r>
          </w:p>
        </w:tc>
      </w:tr>
      <w:tr w14:paraId="2B532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0761B06">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7.6.9</w:t>
            </w:r>
          </w:p>
        </w:tc>
        <w:tc>
          <w:tcPr>
            <w:tcW w:w="7484" w:type="dxa"/>
            <w:tcBorders>
              <w:top w:val="nil"/>
              <w:left w:val="nil"/>
              <w:bottom w:val="nil"/>
              <w:right w:val="nil"/>
            </w:tcBorders>
            <w:vAlign w:val="center"/>
          </w:tcPr>
          <w:p w14:paraId="247C5973">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成交供应商工作人员要遵守法律法规及采购人内部管理规定，要有良好的服务意识并自觉接受监督，不与采购人发生争吵或冲突。否则，采购人有权单方面无条件终止合同。</w:t>
            </w:r>
          </w:p>
        </w:tc>
      </w:tr>
      <w:tr w14:paraId="4C06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444E2B2">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7.6.10</w:t>
            </w:r>
          </w:p>
        </w:tc>
        <w:tc>
          <w:tcPr>
            <w:tcW w:w="7484" w:type="dxa"/>
            <w:tcBorders>
              <w:top w:val="nil"/>
              <w:left w:val="nil"/>
              <w:bottom w:val="nil"/>
              <w:right w:val="nil"/>
            </w:tcBorders>
            <w:vAlign w:val="center"/>
          </w:tcPr>
          <w:p w14:paraId="5EED6134">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所有成交供应商人员的工资、加班费、社会保险、福利待遇、人员培训、体检、丧残疾病等所有费用均由成交供应商自行承担。</w:t>
            </w:r>
          </w:p>
        </w:tc>
      </w:tr>
      <w:tr w14:paraId="7772AF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02DCFFCA">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7.6.11</w:t>
            </w:r>
          </w:p>
        </w:tc>
        <w:tc>
          <w:tcPr>
            <w:tcW w:w="7484" w:type="dxa"/>
            <w:tcBorders>
              <w:top w:val="nil"/>
              <w:left w:val="nil"/>
              <w:bottom w:val="nil"/>
              <w:right w:val="nil"/>
            </w:tcBorders>
            <w:vAlign w:val="center"/>
          </w:tcPr>
          <w:p w14:paraId="72EAA20C">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成交供应商要有计划对所有员工进行岗前培训以及各种技能、卫生、服务技巧的在岗培训，学习餐饮管理的各项法规，掌握《餐饮服务食品安全操作规范》及有关规章制度。</w:t>
            </w:r>
          </w:p>
        </w:tc>
      </w:tr>
      <w:tr w14:paraId="557AC6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3C2E6FFC">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7.6.12</w:t>
            </w:r>
          </w:p>
        </w:tc>
        <w:tc>
          <w:tcPr>
            <w:tcW w:w="7484" w:type="dxa"/>
            <w:tcBorders>
              <w:top w:val="nil"/>
              <w:left w:val="nil"/>
              <w:bottom w:val="nil"/>
              <w:right w:val="nil"/>
            </w:tcBorders>
            <w:vAlign w:val="center"/>
          </w:tcPr>
          <w:p w14:paraId="1EE04BF8">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如采购人就餐人员对成交供应商制作的饭菜样式或口味不满意的，成交供应商应在采购人提出要求后1周内完成整改。如整改后，采购人就餐人员对成交供应商制作的饭菜样式或口味仍然不满意的，成交供应商应更换厨师，一个月仍未更换的，采购人有权单方面无条件终止合同。</w:t>
            </w:r>
            <w:r>
              <w:rPr>
                <w:rFonts w:hint="eastAsia" w:ascii="仿宋" w:hAnsi="仿宋" w:eastAsia="仿宋" w:cs="仿宋"/>
                <w:b/>
                <w:bCs/>
                <w:color w:val="auto"/>
                <w:sz w:val="24"/>
                <w:szCs w:val="24"/>
                <w:highlight w:val="none"/>
                <w:lang w:val="en-US" w:eastAsia="zh-CN"/>
              </w:rPr>
              <w:t>（提供承诺函，格式自拟）</w:t>
            </w:r>
          </w:p>
        </w:tc>
      </w:tr>
      <w:tr w14:paraId="54BFA0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CA0B486">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7.6.13</w:t>
            </w:r>
          </w:p>
        </w:tc>
        <w:tc>
          <w:tcPr>
            <w:tcW w:w="7484" w:type="dxa"/>
            <w:tcBorders>
              <w:top w:val="nil"/>
              <w:left w:val="nil"/>
              <w:bottom w:val="nil"/>
              <w:right w:val="nil"/>
            </w:tcBorders>
            <w:vAlign w:val="center"/>
          </w:tcPr>
          <w:p w14:paraId="5A38D7FE">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采购人如有需要，可要求成交供应商另外增加食堂工作人员，具体岗位人数由采购人具体确认，工资待遇参照同岗位执行。如无相同岗位，则由采购人和成交供应商协商。此部分人员的费用采购人按实支付相关费用。</w:t>
            </w:r>
          </w:p>
        </w:tc>
      </w:tr>
      <w:tr w14:paraId="7DD6AB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0C6E8FEB">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7.6.14</w:t>
            </w:r>
          </w:p>
        </w:tc>
        <w:tc>
          <w:tcPr>
            <w:tcW w:w="7484" w:type="dxa"/>
            <w:tcBorders>
              <w:top w:val="nil"/>
              <w:left w:val="nil"/>
              <w:bottom w:val="nil"/>
              <w:right w:val="nil"/>
            </w:tcBorders>
            <w:vAlign w:val="center"/>
          </w:tcPr>
          <w:p w14:paraId="41C0B88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期内，成交供应商自行承担全部法律责任及损害赔偿责任，包括刑事、民事、工伤、社保、住房公积金、员工劳保福利等，所安排的工作人员在驻场服务点处出现伤害或因公伤亡等情形的，由成交供应商负责处理并承担抚恤金或赔偿金等;其服务人员在驻场服务点处发生包括但不限于打架、斗殴、盗窃等违法、违规或违纪行为并所造成的后果及损失，由成交供应商承担并负责赔偿，采购人不予承担。</w:t>
            </w:r>
            <w:r>
              <w:rPr>
                <w:rFonts w:hint="eastAsia" w:ascii="仿宋" w:hAnsi="仿宋" w:eastAsia="仿宋" w:cs="仿宋"/>
                <w:b/>
                <w:bCs/>
                <w:color w:val="auto"/>
                <w:sz w:val="24"/>
                <w:szCs w:val="24"/>
                <w:highlight w:val="none"/>
                <w:lang w:val="en-US" w:eastAsia="zh-CN"/>
              </w:rPr>
              <w:t>（提供承诺函，格式自拟）</w:t>
            </w:r>
          </w:p>
        </w:tc>
      </w:tr>
      <w:tr w14:paraId="4B349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01C138A9">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7.6.15</w:t>
            </w:r>
          </w:p>
        </w:tc>
        <w:tc>
          <w:tcPr>
            <w:tcW w:w="7484" w:type="dxa"/>
            <w:tcBorders>
              <w:top w:val="nil"/>
              <w:left w:val="nil"/>
              <w:bottom w:val="nil"/>
              <w:right w:val="nil"/>
            </w:tcBorders>
            <w:vAlign w:val="center"/>
          </w:tcPr>
          <w:p w14:paraId="3966DDC4">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应严格按劳动法相关规定及时足额支付劳动报酬，购买相应的社会保险，保障服务人员的合法权益，并在入场前提供上述人员与其签订的劳动合同等，后续所有新驻场人员均须提供。如因成交供应商拖欠、克扣服务人员的劳动报酬等，引发劳动纠纷的均由成交供应商承担全部责任。</w:t>
            </w:r>
            <w:r>
              <w:rPr>
                <w:rFonts w:hint="eastAsia" w:ascii="仿宋" w:hAnsi="仿宋" w:eastAsia="仿宋" w:cs="仿宋"/>
                <w:b/>
                <w:bCs/>
                <w:color w:val="auto"/>
                <w:sz w:val="24"/>
                <w:szCs w:val="24"/>
                <w:highlight w:val="none"/>
                <w:lang w:val="en-US" w:eastAsia="zh-CN"/>
              </w:rPr>
              <w:t>（提供承诺函，格式自拟）</w:t>
            </w:r>
          </w:p>
        </w:tc>
      </w:tr>
      <w:tr w14:paraId="61F91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26EEE510">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7.7</w:t>
            </w:r>
          </w:p>
        </w:tc>
        <w:tc>
          <w:tcPr>
            <w:tcW w:w="7484" w:type="dxa"/>
            <w:tcBorders>
              <w:top w:val="nil"/>
              <w:left w:val="nil"/>
              <w:bottom w:val="nil"/>
              <w:right w:val="nil"/>
            </w:tcBorders>
            <w:vAlign w:val="center"/>
          </w:tcPr>
          <w:p w14:paraId="20699A98">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▲日常工作要求（提供承诺函，格式自拟）</w:t>
            </w:r>
          </w:p>
        </w:tc>
      </w:tr>
      <w:tr w14:paraId="150F06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8484" w:type="dxa"/>
            <w:gridSpan w:val="2"/>
            <w:tcBorders>
              <w:top w:val="nil"/>
              <w:left w:val="nil"/>
              <w:bottom w:val="nil"/>
              <w:right w:val="nil"/>
            </w:tcBorders>
            <w:vAlign w:val="center"/>
          </w:tcPr>
          <w:p w14:paraId="20EC20B6">
            <w:pPr>
              <w:jc w:val="both"/>
              <w:rPr>
                <w:rFonts w:hint="eastAsia" w:ascii="黑体" w:hAnsi="黑体" w:eastAsia="黑体" w:cs="黑体"/>
                <w:b/>
                <w:bCs/>
                <w:color w:val="C00000"/>
                <w:sz w:val="24"/>
                <w:szCs w:val="24"/>
                <w:highlight w:val="none"/>
                <w:lang w:val="en-US" w:eastAsia="zh-CN"/>
              </w:rPr>
            </w:pPr>
          </w:p>
          <w:tbl>
            <w:tblPr>
              <w:tblStyle w:val="4"/>
              <w:tblW w:w="8303" w:type="dxa"/>
              <w:tblInd w:w="0" w:type="dxa"/>
              <w:shd w:val="clear" w:color="auto" w:fill="auto"/>
              <w:tblLayout w:type="fixed"/>
              <w:tblCellMar>
                <w:top w:w="0" w:type="dxa"/>
                <w:left w:w="108" w:type="dxa"/>
                <w:bottom w:w="0" w:type="dxa"/>
                <w:right w:w="108" w:type="dxa"/>
              </w:tblCellMar>
            </w:tblPr>
            <w:tblGrid>
              <w:gridCol w:w="548"/>
              <w:gridCol w:w="706"/>
              <w:gridCol w:w="1603"/>
              <w:gridCol w:w="5446"/>
            </w:tblGrid>
            <w:tr w14:paraId="07009029">
              <w:tblPrEx>
                <w:tblCellMar>
                  <w:top w:w="0" w:type="dxa"/>
                  <w:left w:w="108" w:type="dxa"/>
                  <w:bottom w:w="0" w:type="dxa"/>
                  <w:right w:w="108" w:type="dxa"/>
                </w:tblCellMar>
              </w:tblPrEx>
              <w:tc>
                <w:tcPr>
                  <w:tcW w:w="548" w:type="dxa"/>
                  <w:tcBorders>
                    <w:top w:val="single" w:color="000000" w:sz="4" w:space="0"/>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2DAA69AC">
                  <w:pPr>
                    <w:pStyle w:val="8"/>
                    <w:spacing w:line="360" w:lineRule="auto"/>
                    <w:jc w:val="center"/>
                    <w:rPr>
                      <w:rFonts w:hint="eastAsia" w:ascii="仿宋" w:hAnsi="仿宋" w:eastAsia="仿宋" w:cs="仿宋"/>
                      <w:sz w:val="21"/>
                      <w:szCs w:val="21"/>
                    </w:rPr>
                  </w:pPr>
                  <w:r>
                    <w:rPr>
                      <w:rFonts w:hint="eastAsia" w:ascii="仿宋" w:hAnsi="仿宋" w:eastAsia="仿宋" w:cs="仿宋"/>
                      <w:b/>
                      <w:color w:val="000000"/>
                      <w:sz w:val="21"/>
                      <w:szCs w:val="21"/>
                    </w:rPr>
                    <w:t>序号</w:t>
                  </w:r>
                </w:p>
              </w:tc>
              <w:tc>
                <w:tcPr>
                  <w:tcW w:w="706" w:type="dxa"/>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70CEAA0">
                  <w:pPr>
                    <w:pStyle w:val="8"/>
                    <w:spacing w:line="360" w:lineRule="auto"/>
                    <w:jc w:val="center"/>
                    <w:rPr>
                      <w:rFonts w:hint="eastAsia" w:ascii="仿宋" w:hAnsi="仿宋" w:eastAsia="仿宋" w:cs="仿宋"/>
                      <w:sz w:val="21"/>
                      <w:szCs w:val="21"/>
                    </w:rPr>
                  </w:pPr>
                  <w:r>
                    <w:rPr>
                      <w:rFonts w:hint="eastAsia" w:ascii="仿宋" w:hAnsi="仿宋" w:eastAsia="仿宋" w:cs="仿宋"/>
                      <w:b/>
                      <w:color w:val="000000"/>
                      <w:sz w:val="21"/>
                      <w:szCs w:val="21"/>
                    </w:rPr>
                    <w:t>类别</w:t>
                  </w:r>
                </w:p>
              </w:tc>
              <w:tc>
                <w:tcPr>
                  <w:tcW w:w="1603" w:type="dxa"/>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DC2969F">
                  <w:pPr>
                    <w:pStyle w:val="8"/>
                    <w:spacing w:line="360" w:lineRule="auto"/>
                    <w:jc w:val="center"/>
                    <w:rPr>
                      <w:rFonts w:hint="eastAsia" w:ascii="仿宋" w:hAnsi="仿宋" w:eastAsia="仿宋" w:cs="仿宋"/>
                      <w:sz w:val="21"/>
                      <w:szCs w:val="21"/>
                    </w:rPr>
                  </w:pPr>
                  <w:r>
                    <w:rPr>
                      <w:rFonts w:hint="eastAsia" w:ascii="仿宋" w:hAnsi="仿宋" w:eastAsia="仿宋" w:cs="仿宋"/>
                      <w:b/>
                      <w:color w:val="000000"/>
                      <w:sz w:val="21"/>
                      <w:szCs w:val="21"/>
                    </w:rPr>
                    <w:t>项目</w:t>
                  </w:r>
                </w:p>
              </w:tc>
              <w:tc>
                <w:tcPr>
                  <w:tcW w:w="5446" w:type="dxa"/>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D95E88A">
                  <w:pPr>
                    <w:pStyle w:val="8"/>
                    <w:spacing w:line="360" w:lineRule="auto"/>
                    <w:jc w:val="center"/>
                    <w:rPr>
                      <w:rFonts w:hint="eastAsia" w:ascii="仿宋" w:hAnsi="仿宋" w:eastAsia="仿宋" w:cs="仿宋"/>
                      <w:sz w:val="21"/>
                      <w:szCs w:val="21"/>
                    </w:rPr>
                  </w:pPr>
                  <w:r>
                    <w:rPr>
                      <w:rFonts w:hint="eastAsia" w:ascii="仿宋" w:hAnsi="仿宋" w:eastAsia="仿宋" w:cs="仿宋"/>
                      <w:b/>
                      <w:color w:val="000000"/>
                      <w:sz w:val="21"/>
                      <w:szCs w:val="21"/>
                    </w:rPr>
                    <w:t>工作标准内容</w:t>
                  </w:r>
                </w:p>
              </w:tc>
            </w:tr>
            <w:tr w14:paraId="6A4CFCF6">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5015CD1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c>
                <w:tcPr>
                  <w:tcW w:w="706"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1975FE9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物品管理</w:t>
                  </w:r>
                </w:p>
              </w:tc>
              <w:tc>
                <w:tcPr>
                  <w:tcW w:w="1603"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1A3238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物品</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AAA4B5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各功能间无多余物品</w:t>
                  </w:r>
                </w:p>
              </w:tc>
            </w:tr>
            <w:tr w14:paraId="4CB215B7">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537C319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2</w:t>
                  </w:r>
                </w:p>
              </w:tc>
              <w:tc>
                <w:tcPr>
                  <w:tcW w:w="706" w:type="dxa"/>
                  <w:vMerge w:val="continue"/>
                  <w:tcBorders>
                    <w:top w:val="nil"/>
                    <w:left w:val="nil"/>
                    <w:bottom w:val="single" w:color="000000" w:sz="4" w:space="0"/>
                    <w:right w:val="single" w:color="000000" w:sz="4" w:space="0"/>
                  </w:tcBorders>
                  <w:shd w:val="clear" w:color="auto" w:fill="auto"/>
                  <w:vAlign w:val="center"/>
                </w:tcPr>
                <w:p w14:paraId="5C8515A3">
                  <w:pPr>
                    <w:spacing w:line="360" w:lineRule="auto"/>
                    <w:jc w:val="center"/>
                    <w:rPr>
                      <w:rFonts w:hint="eastAsia" w:ascii="仿宋" w:hAnsi="仿宋" w:eastAsia="仿宋" w:cs="仿宋"/>
                      <w:sz w:val="21"/>
                      <w:szCs w:val="21"/>
                    </w:rPr>
                  </w:pPr>
                </w:p>
              </w:tc>
              <w:tc>
                <w:tcPr>
                  <w:tcW w:w="1603"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4A046F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清理</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1042336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破损设施、器具及时报修、清理</w:t>
                  </w:r>
                </w:p>
              </w:tc>
            </w:tr>
            <w:tr w14:paraId="7805F314">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5CADF14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3</w:t>
                  </w:r>
                </w:p>
              </w:tc>
              <w:tc>
                <w:tcPr>
                  <w:tcW w:w="706" w:type="dxa"/>
                  <w:vMerge w:val="continue"/>
                  <w:tcBorders>
                    <w:top w:val="nil"/>
                    <w:left w:val="nil"/>
                    <w:bottom w:val="single" w:color="000000" w:sz="4" w:space="0"/>
                    <w:right w:val="single" w:color="000000" w:sz="4" w:space="0"/>
                  </w:tcBorders>
                  <w:shd w:val="clear" w:color="auto" w:fill="auto"/>
                  <w:vAlign w:val="center"/>
                </w:tcPr>
                <w:p w14:paraId="16F6A6C6">
                  <w:pPr>
                    <w:spacing w:line="360" w:lineRule="auto"/>
                    <w:jc w:val="center"/>
                    <w:rPr>
                      <w:rFonts w:hint="eastAsia" w:ascii="仿宋" w:hAnsi="仿宋" w:eastAsia="仿宋" w:cs="仿宋"/>
                      <w:sz w:val="21"/>
                      <w:szCs w:val="21"/>
                    </w:rPr>
                  </w:pPr>
                </w:p>
              </w:tc>
              <w:tc>
                <w:tcPr>
                  <w:tcW w:w="1603"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572017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个人</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F271FF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个人物品集中摆放</w:t>
                  </w:r>
                </w:p>
              </w:tc>
            </w:tr>
            <w:tr w14:paraId="616CCDF6">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2B9D49F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4</w:t>
                  </w:r>
                </w:p>
              </w:tc>
              <w:tc>
                <w:tcPr>
                  <w:tcW w:w="706" w:type="dxa"/>
                  <w:vMerge w:val="continue"/>
                  <w:tcBorders>
                    <w:top w:val="nil"/>
                    <w:left w:val="nil"/>
                    <w:bottom w:val="single" w:color="000000" w:sz="4" w:space="0"/>
                    <w:right w:val="single" w:color="000000" w:sz="4" w:space="0"/>
                  </w:tcBorders>
                  <w:shd w:val="clear" w:color="auto" w:fill="auto"/>
                  <w:vAlign w:val="center"/>
                </w:tcPr>
                <w:p w14:paraId="6D5CBDDF">
                  <w:pPr>
                    <w:spacing w:line="360" w:lineRule="auto"/>
                    <w:jc w:val="center"/>
                    <w:rPr>
                      <w:rFonts w:hint="eastAsia" w:ascii="仿宋" w:hAnsi="仿宋" w:eastAsia="仿宋" w:cs="仿宋"/>
                      <w:sz w:val="21"/>
                      <w:szCs w:val="21"/>
                    </w:rPr>
                  </w:pPr>
                </w:p>
              </w:tc>
              <w:tc>
                <w:tcPr>
                  <w:tcW w:w="1603"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E93A73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物品</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B8F685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个人水杯、毛巾统一存放于指定位置</w:t>
                  </w:r>
                </w:p>
              </w:tc>
            </w:tr>
            <w:tr w14:paraId="365021CE">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6939B8A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5</w:t>
                  </w:r>
                </w:p>
              </w:tc>
              <w:tc>
                <w:tcPr>
                  <w:tcW w:w="706" w:type="dxa"/>
                  <w:vMerge w:val="continue"/>
                  <w:tcBorders>
                    <w:top w:val="nil"/>
                    <w:left w:val="nil"/>
                    <w:bottom w:val="single" w:color="000000" w:sz="4" w:space="0"/>
                    <w:right w:val="single" w:color="000000" w:sz="4" w:space="0"/>
                  </w:tcBorders>
                  <w:shd w:val="clear" w:color="auto" w:fill="auto"/>
                  <w:vAlign w:val="center"/>
                </w:tcPr>
                <w:p w14:paraId="0B0B45B0">
                  <w:pPr>
                    <w:spacing w:line="360" w:lineRule="auto"/>
                    <w:jc w:val="center"/>
                    <w:rPr>
                      <w:rFonts w:hint="eastAsia" w:ascii="仿宋" w:hAnsi="仿宋" w:eastAsia="仿宋" w:cs="仿宋"/>
                      <w:sz w:val="21"/>
                      <w:szCs w:val="21"/>
                    </w:rPr>
                  </w:pPr>
                </w:p>
              </w:tc>
              <w:tc>
                <w:tcPr>
                  <w:tcW w:w="1603"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2388F0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物品分层存放</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0D2ED01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各功能区内物品按使用频率分低中高用量合理放置</w:t>
                  </w:r>
                </w:p>
              </w:tc>
            </w:tr>
            <w:tr w14:paraId="2DE2D8B9">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05FFC44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6</w:t>
                  </w:r>
                </w:p>
              </w:tc>
              <w:tc>
                <w:tcPr>
                  <w:tcW w:w="706" w:type="dxa"/>
                  <w:vMerge w:val="continue"/>
                  <w:tcBorders>
                    <w:top w:val="nil"/>
                    <w:left w:val="nil"/>
                    <w:bottom w:val="single" w:color="000000" w:sz="4" w:space="0"/>
                    <w:right w:val="single" w:color="000000" w:sz="4" w:space="0"/>
                  </w:tcBorders>
                  <w:shd w:val="clear" w:color="auto" w:fill="auto"/>
                  <w:vAlign w:val="center"/>
                </w:tcPr>
                <w:p w14:paraId="2618D6AE">
                  <w:pPr>
                    <w:spacing w:line="360" w:lineRule="auto"/>
                    <w:jc w:val="center"/>
                    <w:rPr>
                      <w:rFonts w:hint="eastAsia" w:ascii="仿宋" w:hAnsi="仿宋" w:eastAsia="仿宋" w:cs="仿宋"/>
                      <w:sz w:val="21"/>
                      <w:szCs w:val="21"/>
                    </w:rPr>
                  </w:pP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CDD78A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物品标识标签</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F30CAA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待加工食品与直接入口食品的加工工具和容器有明显区分标示</w:t>
                  </w:r>
                </w:p>
              </w:tc>
            </w:tr>
            <w:tr w14:paraId="655791EB">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8AF1EB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7</w:t>
                  </w:r>
                </w:p>
              </w:tc>
              <w:tc>
                <w:tcPr>
                  <w:tcW w:w="706" w:type="dxa"/>
                  <w:vMerge w:val="continue"/>
                  <w:tcBorders>
                    <w:top w:val="nil"/>
                    <w:left w:val="nil"/>
                    <w:bottom w:val="single" w:color="000000" w:sz="4" w:space="0"/>
                    <w:right w:val="single" w:color="000000" w:sz="4" w:space="0"/>
                  </w:tcBorders>
                  <w:shd w:val="clear" w:color="auto" w:fill="auto"/>
                  <w:vAlign w:val="center"/>
                </w:tcPr>
                <w:p w14:paraId="66B93E0A">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0199E5AC">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CB0FF6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所有食品/化学物品必须有标识或标签，其规格和样式统一、齐整、无模糊现象</w:t>
                  </w:r>
                </w:p>
              </w:tc>
            </w:tr>
            <w:tr w14:paraId="1F6C474B">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5424AC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8</w:t>
                  </w:r>
                </w:p>
              </w:tc>
              <w:tc>
                <w:tcPr>
                  <w:tcW w:w="706" w:type="dxa"/>
                  <w:vMerge w:val="continue"/>
                  <w:tcBorders>
                    <w:top w:val="nil"/>
                    <w:left w:val="nil"/>
                    <w:bottom w:val="single" w:color="000000" w:sz="4" w:space="0"/>
                    <w:right w:val="single" w:color="000000" w:sz="4" w:space="0"/>
                  </w:tcBorders>
                  <w:shd w:val="clear" w:color="auto" w:fill="auto"/>
                  <w:vAlign w:val="center"/>
                </w:tcPr>
                <w:p w14:paraId="3CEDEFDE">
                  <w:pPr>
                    <w:spacing w:line="360" w:lineRule="auto"/>
                    <w:jc w:val="center"/>
                    <w:rPr>
                      <w:rFonts w:hint="eastAsia" w:ascii="仿宋" w:hAnsi="仿宋" w:eastAsia="仿宋" w:cs="仿宋"/>
                      <w:sz w:val="21"/>
                      <w:szCs w:val="21"/>
                    </w:rPr>
                  </w:pP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3D6A04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物品摆放</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13C53C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无使用有颜色胶袋盛装食品</w:t>
                  </w:r>
                </w:p>
              </w:tc>
            </w:tr>
            <w:tr w14:paraId="795FCAA9">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290873F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9</w:t>
                  </w:r>
                </w:p>
              </w:tc>
              <w:tc>
                <w:tcPr>
                  <w:tcW w:w="706" w:type="dxa"/>
                  <w:vMerge w:val="continue"/>
                  <w:tcBorders>
                    <w:top w:val="nil"/>
                    <w:left w:val="nil"/>
                    <w:bottom w:val="single" w:color="000000" w:sz="4" w:space="0"/>
                    <w:right w:val="single" w:color="000000" w:sz="4" w:space="0"/>
                  </w:tcBorders>
                  <w:shd w:val="clear" w:color="auto" w:fill="auto"/>
                  <w:vAlign w:val="center"/>
                </w:tcPr>
                <w:p w14:paraId="3B2E0B19">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480ADA8B">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991B8E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纸箱、纸皮、鸡蛋纸托不能进入食品加工区及仓库</w:t>
                  </w:r>
                </w:p>
              </w:tc>
            </w:tr>
            <w:tr w14:paraId="1F9D69B6">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0337A2C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10</w:t>
                  </w:r>
                </w:p>
              </w:tc>
              <w:tc>
                <w:tcPr>
                  <w:tcW w:w="706" w:type="dxa"/>
                  <w:vMerge w:val="continue"/>
                  <w:tcBorders>
                    <w:top w:val="nil"/>
                    <w:left w:val="nil"/>
                    <w:bottom w:val="single" w:color="000000" w:sz="4" w:space="0"/>
                    <w:right w:val="single" w:color="000000" w:sz="4" w:space="0"/>
                  </w:tcBorders>
                  <w:shd w:val="clear" w:color="auto" w:fill="auto"/>
                  <w:vAlign w:val="center"/>
                </w:tcPr>
                <w:p w14:paraId="4C7B122B">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3214648C">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4605F3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食品与非食品，分区隔离存放</w:t>
                  </w:r>
                </w:p>
              </w:tc>
            </w:tr>
            <w:tr w14:paraId="5CB8A48F">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FF05AE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11</w:t>
                  </w:r>
                </w:p>
              </w:tc>
              <w:tc>
                <w:tcPr>
                  <w:tcW w:w="706" w:type="dxa"/>
                  <w:vMerge w:val="continue"/>
                  <w:tcBorders>
                    <w:top w:val="nil"/>
                    <w:left w:val="nil"/>
                    <w:bottom w:val="single" w:color="000000" w:sz="4" w:space="0"/>
                    <w:right w:val="single" w:color="000000" w:sz="4" w:space="0"/>
                  </w:tcBorders>
                  <w:shd w:val="clear" w:color="auto" w:fill="auto"/>
                  <w:vAlign w:val="center"/>
                </w:tcPr>
                <w:p w14:paraId="0996FFF4">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72A3C477">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49DD70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各功能间内物品按标签、划线规定摆放</w:t>
                  </w:r>
                </w:p>
              </w:tc>
            </w:tr>
            <w:tr w14:paraId="39889B9C">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1D407D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12</w:t>
                  </w:r>
                </w:p>
              </w:tc>
              <w:tc>
                <w:tcPr>
                  <w:tcW w:w="706" w:type="dxa"/>
                  <w:vMerge w:val="continue"/>
                  <w:tcBorders>
                    <w:top w:val="nil"/>
                    <w:left w:val="nil"/>
                    <w:bottom w:val="single" w:color="000000" w:sz="4" w:space="0"/>
                    <w:right w:val="single" w:color="000000" w:sz="4" w:space="0"/>
                  </w:tcBorders>
                  <w:shd w:val="clear" w:color="auto" w:fill="auto"/>
                  <w:vAlign w:val="center"/>
                </w:tcPr>
                <w:p w14:paraId="2515EEAC">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62001032">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97CDBED">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操作区域内的散装食品放入统一规格的容器</w:t>
                  </w:r>
                </w:p>
              </w:tc>
            </w:tr>
            <w:tr w14:paraId="3A7FDCD7">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0B53CF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13</w:t>
                  </w:r>
                </w:p>
              </w:tc>
              <w:tc>
                <w:tcPr>
                  <w:tcW w:w="706" w:type="dxa"/>
                  <w:vMerge w:val="continue"/>
                  <w:tcBorders>
                    <w:top w:val="nil"/>
                    <w:left w:val="nil"/>
                    <w:bottom w:val="single" w:color="000000" w:sz="4" w:space="0"/>
                    <w:right w:val="single" w:color="000000" w:sz="4" w:space="0"/>
                  </w:tcBorders>
                  <w:shd w:val="clear" w:color="auto" w:fill="auto"/>
                  <w:vAlign w:val="center"/>
                </w:tcPr>
                <w:p w14:paraId="72EF2714">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04A80433">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64F83E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用于清扫清洗和消毒的设备、用具，用毕放置在专用的场所或区域</w:t>
                  </w:r>
                </w:p>
              </w:tc>
            </w:tr>
            <w:tr w14:paraId="6DAF102B">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4242272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14</w:t>
                  </w:r>
                </w:p>
              </w:tc>
              <w:tc>
                <w:tcPr>
                  <w:tcW w:w="706"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71C58C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食品加工管理</w:t>
                  </w: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058774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作业规程</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0ACED5E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食品加工过程中不能用水冲地或台面</w:t>
                  </w:r>
                </w:p>
              </w:tc>
            </w:tr>
            <w:tr w14:paraId="58318DB0">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2E0D4E0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15</w:t>
                  </w:r>
                </w:p>
              </w:tc>
              <w:tc>
                <w:tcPr>
                  <w:tcW w:w="706" w:type="dxa"/>
                  <w:vMerge w:val="continue"/>
                  <w:tcBorders>
                    <w:top w:val="nil"/>
                    <w:left w:val="nil"/>
                    <w:bottom w:val="single" w:color="000000" w:sz="4" w:space="0"/>
                    <w:right w:val="single" w:color="000000" w:sz="4" w:space="0"/>
                  </w:tcBorders>
                  <w:shd w:val="clear" w:color="auto" w:fill="auto"/>
                  <w:vAlign w:val="center"/>
                </w:tcPr>
                <w:p w14:paraId="6FEEB583">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2CE734AD">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1C2BA22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厨师不能直接用菜勺试味，应采用专用的碗筷试味</w:t>
                  </w:r>
                </w:p>
              </w:tc>
            </w:tr>
            <w:tr w14:paraId="56000789">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660A822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16</w:t>
                  </w:r>
                </w:p>
              </w:tc>
              <w:tc>
                <w:tcPr>
                  <w:tcW w:w="706" w:type="dxa"/>
                  <w:vMerge w:val="continue"/>
                  <w:tcBorders>
                    <w:top w:val="nil"/>
                    <w:left w:val="nil"/>
                    <w:bottom w:val="single" w:color="000000" w:sz="4" w:space="0"/>
                    <w:right w:val="single" w:color="000000" w:sz="4" w:space="0"/>
                  </w:tcBorders>
                  <w:shd w:val="clear" w:color="auto" w:fill="auto"/>
                  <w:vAlign w:val="center"/>
                </w:tcPr>
                <w:p w14:paraId="50C081A2">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53285784">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9F47C8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盛装食品的容器不直接置于地上，能防止食品污染</w:t>
                  </w:r>
                </w:p>
              </w:tc>
            </w:tr>
            <w:tr w14:paraId="1792D9FB">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5880F2E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17</w:t>
                  </w:r>
                </w:p>
              </w:tc>
              <w:tc>
                <w:tcPr>
                  <w:tcW w:w="706" w:type="dxa"/>
                  <w:vMerge w:val="continue"/>
                  <w:tcBorders>
                    <w:top w:val="nil"/>
                    <w:left w:val="nil"/>
                    <w:bottom w:val="single" w:color="000000" w:sz="4" w:space="0"/>
                    <w:right w:val="single" w:color="000000" w:sz="4" w:space="0"/>
                  </w:tcBorders>
                  <w:shd w:val="clear" w:color="auto" w:fill="auto"/>
                  <w:vAlign w:val="center"/>
                </w:tcPr>
                <w:p w14:paraId="24352F33">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73377EF2">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D0D316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待加工食品与直接入口食品的加工工具和容器按标示规定的用途使用</w:t>
                  </w:r>
                </w:p>
              </w:tc>
            </w:tr>
            <w:tr w14:paraId="12B2B4C2">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2E6923E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18</w:t>
                  </w:r>
                </w:p>
              </w:tc>
              <w:tc>
                <w:tcPr>
                  <w:tcW w:w="706" w:type="dxa"/>
                  <w:vMerge w:val="continue"/>
                  <w:tcBorders>
                    <w:top w:val="nil"/>
                    <w:left w:val="nil"/>
                    <w:bottom w:val="single" w:color="000000" w:sz="4" w:space="0"/>
                    <w:right w:val="single" w:color="000000" w:sz="4" w:space="0"/>
                  </w:tcBorders>
                  <w:shd w:val="clear" w:color="auto" w:fill="auto"/>
                  <w:vAlign w:val="center"/>
                </w:tcPr>
                <w:p w14:paraId="7701ADEA">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02DD8664">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898D60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清洗肉类、蔬菜、水产，按照清洗水池标示功能清洗</w:t>
                  </w:r>
                </w:p>
              </w:tc>
            </w:tr>
            <w:tr w14:paraId="381E4233">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44EA74C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19</w:t>
                  </w:r>
                </w:p>
              </w:tc>
              <w:tc>
                <w:tcPr>
                  <w:tcW w:w="706" w:type="dxa"/>
                  <w:vMerge w:val="continue"/>
                  <w:tcBorders>
                    <w:top w:val="nil"/>
                    <w:left w:val="nil"/>
                    <w:bottom w:val="single" w:color="000000" w:sz="4" w:space="0"/>
                    <w:right w:val="single" w:color="000000" w:sz="4" w:space="0"/>
                  </w:tcBorders>
                  <w:shd w:val="clear" w:color="auto" w:fill="auto"/>
                  <w:vAlign w:val="center"/>
                </w:tcPr>
                <w:p w14:paraId="4A9A736F">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48BE5236">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CA2898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非熟食间内无非直接入口食品，直接入口食品则全部存放在熟食间</w:t>
                  </w:r>
                </w:p>
              </w:tc>
            </w:tr>
            <w:tr w14:paraId="179AF584">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38EA0E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20</w:t>
                  </w:r>
                </w:p>
              </w:tc>
              <w:tc>
                <w:tcPr>
                  <w:tcW w:w="706" w:type="dxa"/>
                  <w:vMerge w:val="continue"/>
                  <w:tcBorders>
                    <w:top w:val="nil"/>
                    <w:left w:val="nil"/>
                    <w:bottom w:val="single" w:color="000000" w:sz="4" w:space="0"/>
                    <w:right w:val="single" w:color="000000" w:sz="4" w:space="0"/>
                  </w:tcBorders>
                  <w:shd w:val="clear" w:color="auto" w:fill="auto"/>
                  <w:vAlign w:val="center"/>
                </w:tcPr>
                <w:p w14:paraId="53B6734B">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6C1FCFAF">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CBA33E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用于食品加工操作的设备及工具不得用作食品加工无关的用途</w:t>
                  </w:r>
                </w:p>
              </w:tc>
            </w:tr>
            <w:tr w14:paraId="0B936959">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63871A1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21</w:t>
                  </w:r>
                </w:p>
              </w:tc>
              <w:tc>
                <w:tcPr>
                  <w:tcW w:w="706"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8FA667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环境卫生管理</w:t>
                  </w: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C76EA2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烹调间与食品处理区域清洁要求</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C6ADDB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制定清洁值日表</w:t>
                  </w:r>
                </w:p>
              </w:tc>
            </w:tr>
            <w:tr w14:paraId="41D03015">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12CE00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22</w:t>
                  </w:r>
                </w:p>
              </w:tc>
              <w:tc>
                <w:tcPr>
                  <w:tcW w:w="706" w:type="dxa"/>
                  <w:vMerge w:val="continue"/>
                  <w:tcBorders>
                    <w:top w:val="nil"/>
                    <w:left w:val="nil"/>
                    <w:bottom w:val="single" w:color="000000" w:sz="4" w:space="0"/>
                    <w:right w:val="single" w:color="000000" w:sz="4" w:space="0"/>
                  </w:tcBorders>
                  <w:shd w:val="clear" w:color="auto" w:fill="auto"/>
                  <w:vAlign w:val="center"/>
                </w:tcPr>
                <w:p w14:paraId="58759FA4">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308F3B81">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E717AA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各区域有明确清洁责任人</w:t>
                  </w:r>
                </w:p>
              </w:tc>
            </w:tr>
            <w:tr w14:paraId="0F379C3A">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5AE5430E">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2</w:t>
                  </w:r>
                  <w:r>
                    <w:rPr>
                      <w:rFonts w:hint="eastAsia" w:ascii="仿宋" w:hAnsi="仿宋" w:eastAsia="仿宋" w:cs="仿宋"/>
                      <w:color w:val="000000"/>
                      <w:sz w:val="21"/>
                      <w:szCs w:val="21"/>
                      <w:lang w:val="en-US" w:eastAsia="zh-CN"/>
                    </w:rPr>
                    <w:t>3</w:t>
                  </w:r>
                </w:p>
              </w:tc>
              <w:tc>
                <w:tcPr>
                  <w:tcW w:w="706" w:type="dxa"/>
                  <w:vMerge w:val="continue"/>
                  <w:tcBorders>
                    <w:top w:val="nil"/>
                    <w:left w:val="nil"/>
                    <w:bottom w:val="single" w:color="000000" w:sz="4" w:space="0"/>
                    <w:right w:val="single" w:color="000000" w:sz="4" w:space="0"/>
                  </w:tcBorders>
                  <w:shd w:val="clear" w:color="auto" w:fill="auto"/>
                  <w:vAlign w:val="center"/>
                </w:tcPr>
                <w:p w14:paraId="2B48A015">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20546B8A">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015285D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墙面、屋顶、门窗等无破损、无发霉、发黑</w:t>
                  </w:r>
                </w:p>
              </w:tc>
            </w:tr>
            <w:tr w14:paraId="480819A5">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FE790D3">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2</w:t>
                  </w:r>
                  <w:r>
                    <w:rPr>
                      <w:rFonts w:hint="eastAsia" w:ascii="仿宋" w:hAnsi="仿宋" w:eastAsia="仿宋" w:cs="仿宋"/>
                      <w:color w:val="000000"/>
                      <w:sz w:val="21"/>
                      <w:szCs w:val="21"/>
                      <w:lang w:val="en-US" w:eastAsia="zh-CN"/>
                    </w:rPr>
                    <w:t>4</w:t>
                  </w:r>
                </w:p>
              </w:tc>
              <w:tc>
                <w:tcPr>
                  <w:tcW w:w="706" w:type="dxa"/>
                  <w:vMerge w:val="continue"/>
                  <w:tcBorders>
                    <w:top w:val="nil"/>
                    <w:left w:val="nil"/>
                    <w:bottom w:val="single" w:color="000000" w:sz="4" w:space="0"/>
                    <w:right w:val="single" w:color="000000" w:sz="4" w:space="0"/>
                  </w:tcBorders>
                  <w:shd w:val="clear" w:color="auto" w:fill="auto"/>
                  <w:vAlign w:val="center"/>
                </w:tcPr>
                <w:p w14:paraId="539AA7D2">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51FF6F9E">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D74F60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工作台面、物品架（柜）、仓库物品摆放整齐清洁</w:t>
                  </w:r>
                </w:p>
              </w:tc>
            </w:tr>
            <w:tr w14:paraId="70BDFE5A">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4D46C098">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2</w:t>
                  </w:r>
                  <w:r>
                    <w:rPr>
                      <w:rFonts w:hint="eastAsia" w:ascii="仿宋" w:hAnsi="仿宋" w:eastAsia="仿宋" w:cs="仿宋"/>
                      <w:color w:val="000000"/>
                      <w:sz w:val="21"/>
                      <w:szCs w:val="21"/>
                      <w:lang w:val="en-US" w:eastAsia="zh-CN"/>
                    </w:rPr>
                    <w:t>5</w:t>
                  </w:r>
                </w:p>
              </w:tc>
              <w:tc>
                <w:tcPr>
                  <w:tcW w:w="706" w:type="dxa"/>
                  <w:vMerge w:val="continue"/>
                  <w:tcBorders>
                    <w:top w:val="nil"/>
                    <w:left w:val="nil"/>
                    <w:bottom w:val="single" w:color="000000" w:sz="4" w:space="0"/>
                    <w:right w:val="single" w:color="000000" w:sz="4" w:space="0"/>
                  </w:tcBorders>
                  <w:shd w:val="clear" w:color="auto" w:fill="auto"/>
                  <w:vAlign w:val="center"/>
                </w:tcPr>
                <w:p w14:paraId="397C0156">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738090F2">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8F4E52D">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除粗加工、餐具洗消间外地面应无水渍、干燥</w:t>
                  </w:r>
                </w:p>
              </w:tc>
            </w:tr>
            <w:tr w14:paraId="343345C1">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5CEDFDCF">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2</w:t>
                  </w:r>
                  <w:r>
                    <w:rPr>
                      <w:rFonts w:hint="eastAsia" w:ascii="仿宋" w:hAnsi="仿宋" w:eastAsia="仿宋" w:cs="仿宋"/>
                      <w:color w:val="000000"/>
                      <w:sz w:val="21"/>
                      <w:szCs w:val="21"/>
                      <w:lang w:val="en-US" w:eastAsia="zh-CN"/>
                    </w:rPr>
                    <w:t>6</w:t>
                  </w:r>
                </w:p>
              </w:tc>
              <w:tc>
                <w:tcPr>
                  <w:tcW w:w="706" w:type="dxa"/>
                  <w:vMerge w:val="continue"/>
                  <w:tcBorders>
                    <w:top w:val="nil"/>
                    <w:left w:val="nil"/>
                    <w:bottom w:val="single" w:color="000000" w:sz="4" w:space="0"/>
                    <w:right w:val="single" w:color="000000" w:sz="4" w:space="0"/>
                  </w:tcBorders>
                  <w:shd w:val="clear" w:color="auto" w:fill="auto"/>
                  <w:vAlign w:val="center"/>
                </w:tcPr>
                <w:p w14:paraId="7D328487">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6B4D8932">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E20CC8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墙面、地面无油腻，走路不沾脚</w:t>
                  </w:r>
                </w:p>
              </w:tc>
            </w:tr>
            <w:tr w14:paraId="30CEA21D">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6303B0F9">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2</w:t>
                  </w:r>
                  <w:r>
                    <w:rPr>
                      <w:rFonts w:hint="eastAsia" w:ascii="仿宋" w:hAnsi="仿宋" w:eastAsia="仿宋" w:cs="仿宋"/>
                      <w:color w:val="000000"/>
                      <w:sz w:val="21"/>
                      <w:szCs w:val="21"/>
                      <w:lang w:val="en-US" w:eastAsia="zh-CN"/>
                    </w:rPr>
                    <w:t>7</w:t>
                  </w:r>
                </w:p>
              </w:tc>
              <w:tc>
                <w:tcPr>
                  <w:tcW w:w="706" w:type="dxa"/>
                  <w:vMerge w:val="continue"/>
                  <w:tcBorders>
                    <w:top w:val="nil"/>
                    <w:left w:val="nil"/>
                    <w:bottom w:val="single" w:color="000000" w:sz="4" w:space="0"/>
                    <w:right w:val="single" w:color="000000" w:sz="4" w:space="0"/>
                  </w:tcBorders>
                  <w:shd w:val="clear" w:color="auto" w:fill="auto"/>
                  <w:vAlign w:val="center"/>
                </w:tcPr>
                <w:p w14:paraId="45A03D1C">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1C6BA95C">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F4C3BA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固体废弃物分类整理、当日清运</w:t>
                  </w:r>
                </w:p>
              </w:tc>
            </w:tr>
            <w:tr w14:paraId="6A26DF1D">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6BC5219F">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2</w:t>
                  </w:r>
                  <w:r>
                    <w:rPr>
                      <w:rFonts w:hint="eastAsia" w:ascii="仿宋" w:hAnsi="仿宋" w:eastAsia="仿宋" w:cs="仿宋"/>
                      <w:color w:val="000000"/>
                      <w:sz w:val="21"/>
                      <w:szCs w:val="21"/>
                      <w:lang w:val="en-US" w:eastAsia="zh-CN"/>
                    </w:rPr>
                    <w:t>8</w:t>
                  </w:r>
                </w:p>
              </w:tc>
              <w:tc>
                <w:tcPr>
                  <w:tcW w:w="706" w:type="dxa"/>
                  <w:vMerge w:val="continue"/>
                  <w:tcBorders>
                    <w:top w:val="nil"/>
                    <w:left w:val="nil"/>
                    <w:bottom w:val="single" w:color="000000" w:sz="4" w:space="0"/>
                    <w:right w:val="single" w:color="000000" w:sz="4" w:space="0"/>
                  </w:tcBorders>
                  <w:shd w:val="clear" w:color="auto" w:fill="auto"/>
                  <w:vAlign w:val="center"/>
                </w:tcPr>
                <w:p w14:paraId="1F45D0BC">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58643311">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68A424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工作现场垃圾桶加盖、表面清洁</w:t>
                  </w:r>
                </w:p>
              </w:tc>
            </w:tr>
            <w:tr w14:paraId="46F5DFFE">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28F48F6">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29</w:t>
                  </w:r>
                </w:p>
              </w:tc>
              <w:tc>
                <w:tcPr>
                  <w:tcW w:w="706" w:type="dxa"/>
                  <w:vMerge w:val="continue"/>
                  <w:tcBorders>
                    <w:top w:val="nil"/>
                    <w:left w:val="nil"/>
                    <w:bottom w:val="single" w:color="000000" w:sz="4" w:space="0"/>
                    <w:right w:val="single" w:color="000000" w:sz="4" w:space="0"/>
                  </w:tcBorders>
                  <w:shd w:val="clear" w:color="auto" w:fill="auto"/>
                  <w:vAlign w:val="center"/>
                </w:tcPr>
                <w:p w14:paraId="7A740277">
                  <w:pPr>
                    <w:spacing w:line="360" w:lineRule="auto"/>
                    <w:jc w:val="center"/>
                    <w:rPr>
                      <w:rFonts w:hint="eastAsia" w:ascii="仿宋" w:hAnsi="仿宋" w:eastAsia="仿宋" w:cs="仿宋"/>
                      <w:sz w:val="21"/>
                      <w:szCs w:val="21"/>
                    </w:rPr>
                  </w:pP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C749DC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粗加工和切配区域</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AE5B15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水池内外壁清洁，无残留物、无污垢</w:t>
                  </w:r>
                </w:p>
              </w:tc>
            </w:tr>
            <w:tr w14:paraId="0B2EB8CD">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699023A5">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3</w:t>
                  </w:r>
                  <w:r>
                    <w:rPr>
                      <w:rFonts w:hint="eastAsia" w:ascii="仿宋" w:hAnsi="仿宋" w:eastAsia="仿宋" w:cs="仿宋"/>
                      <w:color w:val="000000"/>
                      <w:sz w:val="21"/>
                      <w:szCs w:val="21"/>
                      <w:lang w:val="en-US" w:eastAsia="zh-CN"/>
                    </w:rPr>
                    <w:t>0</w:t>
                  </w:r>
                </w:p>
              </w:tc>
              <w:tc>
                <w:tcPr>
                  <w:tcW w:w="706" w:type="dxa"/>
                  <w:vMerge w:val="continue"/>
                  <w:tcBorders>
                    <w:top w:val="nil"/>
                    <w:left w:val="nil"/>
                    <w:bottom w:val="single" w:color="000000" w:sz="4" w:space="0"/>
                    <w:right w:val="single" w:color="000000" w:sz="4" w:space="0"/>
                  </w:tcBorders>
                  <w:shd w:val="clear" w:color="auto" w:fill="auto"/>
                  <w:vAlign w:val="center"/>
                </w:tcPr>
                <w:p w14:paraId="19279C59">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545D219F">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ADD449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切配工具、墩头及时洗清、归位、侧立存放</w:t>
                  </w:r>
                </w:p>
              </w:tc>
            </w:tr>
            <w:tr w14:paraId="4FE62C58">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675094F6">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3</w:t>
                  </w:r>
                  <w:r>
                    <w:rPr>
                      <w:rFonts w:hint="eastAsia" w:ascii="仿宋" w:hAnsi="仿宋" w:eastAsia="仿宋" w:cs="仿宋"/>
                      <w:color w:val="000000"/>
                      <w:sz w:val="21"/>
                      <w:szCs w:val="21"/>
                      <w:lang w:val="en-US" w:eastAsia="zh-CN"/>
                    </w:rPr>
                    <w:t>1</w:t>
                  </w:r>
                </w:p>
              </w:tc>
              <w:tc>
                <w:tcPr>
                  <w:tcW w:w="706" w:type="dxa"/>
                  <w:vMerge w:val="continue"/>
                  <w:tcBorders>
                    <w:top w:val="nil"/>
                    <w:left w:val="nil"/>
                    <w:bottom w:val="single" w:color="000000" w:sz="4" w:space="0"/>
                    <w:right w:val="single" w:color="000000" w:sz="4" w:space="0"/>
                  </w:tcBorders>
                  <w:shd w:val="clear" w:color="auto" w:fill="auto"/>
                  <w:vAlign w:val="center"/>
                </w:tcPr>
                <w:p w14:paraId="2B469D5C">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06231FC9">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0182FE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废弃物及时清理，废弃物容器及时加盖</w:t>
                  </w:r>
                </w:p>
              </w:tc>
            </w:tr>
            <w:tr w14:paraId="66AB25F8">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4BBC20E">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3</w:t>
                  </w:r>
                  <w:r>
                    <w:rPr>
                      <w:rFonts w:hint="eastAsia" w:ascii="仿宋" w:hAnsi="仿宋" w:eastAsia="仿宋" w:cs="仿宋"/>
                      <w:color w:val="000000"/>
                      <w:sz w:val="21"/>
                      <w:szCs w:val="21"/>
                      <w:lang w:val="en-US" w:eastAsia="zh-CN"/>
                    </w:rPr>
                    <w:t>2</w:t>
                  </w:r>
                </w:p>
              </w:tc>
              <w:tc>
                <w:tcPr>
                  <w:tcW w:w="706" w:type="dxa"/>
                  <w:vMerge w:val="continue"/>
                  <w:tcBorders>
                    <w:top w:val="nil"/>
                    <w:left w:val="nil"/>
                    <w:bottom w:val="single" w:color="000000" w:sz="4" w:space="0"/>
                    <w:right w:val="single" w:color="000000" w:sz="4" w:space="0"/>
                  </w:tcBorders>
                  <w:shd w:val="clear" w:color="auto" w:fill="auto"/>
                  <w:vAlign w:val="center"/>
                </w:tcPr>
                <w:p w14:paraId="1B68F1E5">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691D4D5C">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1FAF4D9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盛放己经清洗净菜的箩筐不着地堆放</w:t>
                  </w:r>
                </w:p>
              </w:tc>
            </w:tr>
            <w:tr w14:paraId="0BF77EE6">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0E1A4F35">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3</w:t>
                  </w:r>
                  <w:r>
                    <w:rPr>
                      <w:rFonts w:hint="eastAsia" w:ascii="仿宋" w:hAnsi="仿宋" w:eastAsia="仿宋" w:cs="仿宋"/>
                      <w:color w:val="000000"/>
                      <w:sz w:val="21"/>
                      <w:szCs w:val="21"/>
                      <w:lang w:val="en-US" w:eastAsia="zh-CN"/>
                    </w:rPr>
                    <w:t>3</w:t>
                  </w:r>
                </w:p>
              </w:tc>
              <w:tc>
                <w:tcPr>
                  <w:tcW w:w="706"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1E9286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环境卫生管理</w:t>
                  </w: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75DCCF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烹调间</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C131BA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调味品排列整齐有序、容器表面清洁</w:t>
                  </w:r>
                </w:p>
              </w:tc>
            </w:tr>
            <w:tr w14:paraId="3E4CBE98">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C5AA195">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3</w:t>
                  </w:r>
                  <w:r>
                    <w:rPr>
                      <w:rFonts w:hint="eastAsia" w:ascii="仿宋" w:hAnsi="仿宋" w:eastAsia="仿宋" w:cs="仿宋"/>
                      <w:color w:val="000000"/>
                      <w:sz w:val="21"/>
                      <w:szCs w:val="21"/>
                      <w:lang w:val="en-US" w:eastAsia="zh-CN"/>
                    </w:rPr>
                    <w:t>4</w:t>
                  </w:r>
                </w:p>
              </w:tc>
              <w:tc>
                <w:tcPr>
                  <w:tcW w:w="706" w:type="dxa"/>
                  <w:vMerge w:val="continue"/>
                  <w:tcBorders>
                    <w:top w:val="nil"/>
                    <w:left w:val="nil"/>
                    <w:bottom w:val="single" w:color="000000" w:sz="4" w:space="0"/>
                    <w:right w:val="single" w:color="000000" w:sz="4" w:space="0"/>
                  </w:tcBorders>
                  <w:shd w:val="clear" w:color="auto" w:fill="auto"/>
                  <w:vAlign w:val="center"/>
                </w:tcPr>
                <w:p w14:paraId="5CE38A7D">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64AA07DC">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8245E3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生熟必须分开、不存在交叉污染</w:t>
                  </w:r>
                </w:p>
              </w:tc>
            </w:tr>
            <w:tr w14:paraId="20F5FCD2">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606CFEE3">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3</w:t>
                  </w:r>
                  <w:r>
                    <w:rPr>
                      <w:rFonts w:hint="eastAsia" w:ascii="仿宋" w:hAnsi="仿宋" w:eastAsia="仿宋" w:cs="仿宋"/>
                      <w:color w:val="000000"/>
                      <w:sz w:val="21"/>
                      <w:szCs w:val="21"/>
                      <w:lang w:val="en-US" w:eastAsia="zh-CN"/>
                    </w:rPr>
                    <w:t>5</w:t>
                  </w:r>
                </w:p>
              </w:tc>
              <w:tc>
                <w:tcPr>
                  <w:tcW w:w="706" w:type="dxa"/>
                  <w:vMerge w:val="continue"/>
                  <w:tcBorders>
                    <w:top w:val="nil"/>
                    <w:left w:val="nil"/>
                    <w:bottom w:val="single" w:color="000000" w:sz="4" w:space="0"/>
                    <w:right w:val="single" w:color="000000" w:sz="4" w:space="0"/>
                  </w:tcBorders>
                  <w:shd w:val="clear" w:color="auto" w:fill="auto"/>
                  <w:vAlign w:val="center"/>
                </w:tcPr>
                <w:p w14:paraId="41E3D813">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7411955A">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5A2A52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无使用配菜盘直接盛放烹饪后的成品菜</w:t>
                  </w:r>
                </w:p>
              </w:tc>
            </w:tr>
            <w:tr w14:paraId="359D305A">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465A11E3">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3</w:t>
                  </w:r>
                  <w:r>
                    <w:rPr>
                      <w:rFonts w:hint="eastAsia" w:ascii="仿宋" w:hAnsi="仿宋" w:eastAsia="仿宋" w:cs="仿宋"/>
                      <w:color w:val="000000"/>
                      <w:sz w:val="21"/>
                      <w:szCs w:val="21"/>
                      <w:lang w:val="en-US" w:eastAsia="zh-CN"/>
                    </w:rPr>
                    <w:t>6</w:t>
                  </w:r>
                </w:p>
              </w:tc>
              <w:tc>
                <w:tcPr>
                  <w:tcW w:w="706" w:type="dxa"/>
                  <w:vMerge w:val="continue"/>
                  <w:tcBorders>
                    <w:top w:val="nil"/>
                    <w:left w:val="nil"/>
                    <w:bottom w:val="single" w:color="000000" w:sz="4" w:space="0"/>
                    <w:right w:val="single" w:color="000000" w:sz="4" w:space="0"/>
                  </w:tcBorders>
                  <w:shd w:val="clear" w:color="auto" w:fill="auto"/>
                  <w:vAlign w:val="center"/>
                </w:tcPr>
                <w:p w14:paraId="48F14DBC">
                  <w:pPr>
                    <w:spacing w:line="360" w:lineRule="auto"/>
                    <w:jc w:val="center"/>
                    <w:rPr>
                      <w:rFonts w:hint="eastAsia" w:ascii="仿宋" w:hAnsi="仿宋" w:eastAsia="仿宋" w:cs="仿宋"/>
                      <w:sz w:val="21"/>
                      <w:szCs w:val="21"/>
                    </w:rPr>
                  </w:pP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44C3FC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餐具</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6D42D3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餐具清洗后表面无残渣</w:t>
                  </w:r>
                </w:p>
              </w:tc>
            </w:tr>
            <w:tr w14:paraId="5332BAC9">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CDB708B">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3</w:t>
                  </w:r>
                  <w:r>
                    <w:rPr>
                      <w:rFonts w:hint="eastAsia" w:ascii="仿宋" w:hAnsi="仿宋" w:eastAsia="仿宋" w:cs="仿宋"/>
                      <w:color w:val="000000"/>
                      <w:sz w:val="21"/>
                      <w:szCs w:val="21"/>
                      <w:lang w:val="en-US" w:eastAsia="zh-CN"/>
                    </w:rPr>
                    <w:t>7</w:t>
                  </w:r>
                </w:p>
              </w:tc>
              <w:tc>
                <w:tcPr>
                  <w:tcW w:w="706" w:type="dxa"/>
                  <w:vMerge w:val="continue"/>
                  <w:tcBorders>
                    <w:top w:val="nil"/>
                    <w:left w:val="nil"/>
                    <w:bottom w:val="single" w:color="000000" w:sz="4" w:space="0"/>
                    <w:right w:val="single" w:color="000000" w:sz="4" w:space="0"/>
                  </w:tcBorders>
                  <w:shd w:val="clear" w:color="auto" w:fill="auto"/>
                  <w:vAlign w:val="center"/>
                </w:tcPr>
                <w:p w14:paraId="78ADE88F">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51DA7B7E">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306185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餐具表面无油腻、热力消毒后餐具表面无水渍</w:t>
                  </w:r>
                </w:p>
              </w:tc>
            </w:tr>
            <w:tr w14:paraId="7C77CCB0">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4C8B0D5C">
                  <w:pPr>
                    <w:pStyle w:val="8"/>
                    <w:spacing w:line="360" w:lineRule="auto"/>
                    <w:jc w:val="center"/>
                    <w:rPr>
                      <w:rFonts w:hint="default" w:ascii="仿宋" w:hAnsi="仿宋" w:eastAsia="仿宋" w:cs="仿宋"/>
                      <w:sz w:val="21"/>
                      <w:szCs w:val="21"/>
                      <w:lang w:val="en-US"/>
                    </w:rPr>
                  </w:pPr>
                  <w:r>
                    <w:rPr>
                      <w:rFonts w:hint="eastAsia" w:ascii="仿宋" w:hAnsi="仿宋" w:eastAsia="仿宋" w:cs="仿宋"/>
                      <w:color w:val="000000"/>
                      <w:sz w:val="21"/>
                      <w:szCs w:val="21"/>
                      <w:lang w:val="en-US" w:eastAsia="zh-CN"/>
                    </w:rPr>
                    <w:t>38</w:t>
                  </w:r>
                </w:p>
              </w:tc>
              <w:tc>
                <w:tcPr>
                  <w:tcW w:w="706" w:type="dxa"/>
                  <w:vMerge w:val="continue"/>
                  <w:tcBorders>
                    <w:top w:val="nil"/>
                    <w:left w:val="nil"/>
                    <w:bottom w:val="single" w:color="000000" w:sz="4" w:space="0"/>
                    <w:right w:val="single" w:color="000000" w:sz="4" w:space="0"/>
                  </w:tcBorders>
                  <w:shd w:val="clear" w:color="auto" w:fill="auto"/>
                  <w:vAlign w:val="center"/>
                </w:tcPr>
                <w:p w14:paraId="3748DB9E">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678F0A7A">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14F184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消毒餐具及时放置保洁柜，内部整洁，与标识相符</w:t>
                  </w:r>
                </w:p>
              </w:tc>
            </w:tr>
            <w:tr w14:paraId="6727C150">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9896D49">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39</w:t>
                  </w:r>
                </w:p>
              </w:tc>
              <w:tc>
                <w:tcPr>
                  <w:tcW w:w="706" w:type="dxa"/>
                  <w:vMerge w:val="continue"/>
                  <w:tcBorders>
                    <w:top w:val="nil"/>
                    <w:left w:val="nil"/>
                    <w:bottom w:val="single" w:color="000000" w:sz="4" w:space="0"/>
                    <w:right w:val="single" w:color="000000" w:sz="4" w:space="0"/>
                  </w:tcBorders>
                  <w:shd w:val="clear" w:color="auto" w:fill="auto"/>
                  <w:vAlign w:val="center"/>
                </w:tcPr>
                <w:p w14:paraId="35934D97">
                  <w:pPr>
                    <w:spacing w:line="360" w:lineRule="auto"/>
                    <w:jc w:val="center"/>
                    <w:rPr>
                      <w:rFonts w:hint="eastAsia" w:ascii="仿宋" w:hAnsi="仿宋" w:eastAsia="仿宋" w:cs="仿宋"/>
                      <w:sz w:val="21"/>
                      <w:szCs w:val="21"/>
                    </w:rPr>
                  </w:pP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1CFABC6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熟食和配餐间</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56A73C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空气新鲜、台面无残渣</w:t>
                  </w:r>
                </w:p>
              </w:tc>
            </w:tr>
            <w:tr w14:paraId="1D2AE581">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B678DD6">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4</w:t>
                  </w:r>
                  <w:r>
                    <w:rPr>
                      <w:rFonts w:hint="eastAsia" w:ascii="仿宋" w:hAnsi="仿宋" w:eastAsia="仿宋" w:cs="仿宋"/>
                      <w:color w:val="000000"/>
                      <w:sz w:val="21"/>
                      <w:szCs w:val="21"/>
                      <w:lang w:val="en-US" w:eastAsia="zh-CN"/>
                    </w:rPr>
                    <w:t>0</w:t>
                  </w:r>
                </w:p>
              </w:tc>
              <w:tc>
                <w:tcPr>
                  <w:tcW w:w="706" w:type="dxa"/>
                  <w:vMerge w:val="continue"/>
                  <w:tcBorders>
                    <w:top w:val="nil"/>
                    <w:left w:val="nil"/>
                    <w:bottom w:val="single" w:color="000000" w:sz="4" w:space="0"/>
                    <w:right w:val="single" w:color="000000" w:sz="4" w:space="0"/>
                  </w:tcBorders>
                  <w:shd w:val="clear" w:color="auto" w:fill="auto"/>
                  <w:vAlign w:val="center"/>
                </w:tcPr>
                <w:p w14:paraId="2759287C">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730BDC56">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144CCAD">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消毒灯有定期开与关</w:t>
                  </w:r>
                </w:p>
              </w:tc>
            </w:tr>
            <w:tr w14:paraId="129C7B01">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51FAD11B">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4</w:t>
                  </w:r>
                  <w:r>
                    <w:rPr>
                      <w:rFonts w:hint="eastAsia" w:ascii="仿宋" w:hAnsi="仿宋" w:eastAsia="仿宋" w:cs="仿宋"/>
                      <w:color w:val="000000"/>
                      <w:sz w:val="21"/>
                      <w:szCs w:val="21"/>
                      <w:lang w:val="en-US" w:eastAsia="zh-CN"/>
                    </w:rPr>
                    <w:t>1</w:t>
                  </w:r>
                </w:p>
              </w:tc>
              <w:tc>
                <w:tcPr>
                  <w:tcW w:w="706" w:type="dxa"/>
                  <w:vMerge w:val="continue"/>
                  <w:tcBorders>
                    <w:top w:val="nil"/>
                    <w:left w:val="nil"/>
                    <w:bottom w:val="single" w:color="000000" w:sz="4" w:space="0"/>
                    <w:right w:val="single" w:color="000000" w:sz="4" w:space="0"/>
                  </w:tcBorders>
                  <w:shd w:val="clear" w:color="auto" w:fill="auto"/>
                  <w:vAlign w:val="center"/>
                </w:tcPr>
                <w:p w14:paraId="314F641C">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697E548F">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2B99A0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每天清洁空调，运转正常、温度显示26℃以下</w:t>
                  </w:r>
                </w:p>
              </w:tc>
            </w:tr>
            <w:tr w14:paraId="2690F72B">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7CEF5814">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4</w:t>
                  </w:r>
                  <w:r>
                    <w:rPr>
                      <w:rFonts w:hint="eastAsia" w:ascii="仿宋" w:hAnsi="仿宋" w:eastAsia="仿宋" w:cs="仿宋"/>
                      <w:color w:val="000000"/>
                      <w:sz w:val="21"/>
                      <w:szCs w:val="21"/>
                      <w:lang w:val="en-US" w:eastAsia="zh-CN"/>
                    </w:rPr>
                    <w:t>2</w:t>
                  </w:r>
                </w:p>
              </w:tc>
              <w:tc>
                <w:tcPr>
                  <w:tcW w:w="706" w:type="dxa"/>
                  <w:vMerge w:val="continue"/>
                  <w:tcBorders>
                    <w:top w:val="nil"/>
                    <w:left w:val="nil"/>
                    <w:bottom w:val="single" w:color="000000" w:sz="4" w:space="0"/>
                    <w:right w:val="single" w:color="000000" w:sz="4" w:space="0"/>
                  </w:tcBorders>
                  <w:shd w:val="clear" w:color="auto" w:fill="auto"/>
                  <w:vAlign w:val="center"/>
                </w:tcPr>
                <w:p w14:paraId="531F6127">
                  <w:pPr>
                    <w:spacing w:line="360" w:lineRule="auto"/>
                    <w:jc w:val="center"/>
                    <w:rPr>
                      <w:rFonts w:hint="eastAsia" w:ascii="仿宋" w:hAnsi="仿宋" w:eastAsia="仿宋" w:cs="仿宋"/>
                      <w:sz w:val="21"/>
                      <w:szCs w:val="21"/>
                    </w:rPr>
                  </w:pPr>
                </w:p>
              </w:tc>
              <w:tc>
                <w:tcPr>
                  <w:tcW w:w="1603"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C6B726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洗手消毒</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DD384B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履行洗手、手消毒</w:t>
                  </w:r>
                </w:p>
              </w:tc>
            </w:tr>
            <w:tr w14:paraId="425E2875">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69CFF668">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4</w:t>
                  </w:r>
                  <w:r>
                    <w:rPr>
                      <w:rFonts w:hint="eastAsia" w:ascii="仿宋" w:hAnsi="仿宋" w:eastAsia="仿宋" w:cs="仿宋"/>
                      <w:color w:val="000000"/>
                      <w:sz w:val="21"/>
                      <w:szCs w:val="21"/>
                      <w:lang w:val="en-US" w:eastAsia="zh-CN"/>
                    </w:rPr>
                    <w:t>3</w:t>
                  </w:r>
                </w:p>
              </w:tc>
              <w:tc>
                <w:tcPr>
                  <w:tcW w:w="706" w:type="dxa"/>
                  <w:vMerge w:val="continue"/>
                  <w:tcBorders>
                    <w:top w:val="nil"/>
                    <w:left w:val="nil"/>
                    <w:bottom w:val="single" w:color="000000" w:sz="4" w:space="0"/>
                    <w:right w:val="single" w:color="000000" w:sz="4" w:space="0"/>
                  </w:tcBorders>
                  <w:shd w:val="clear" w:color="auto" w:fill="auto"/>
                  <w:vAlign w:val="center"/>
                </w:tcPr>
                <w:p w14:paraId="0C6CCF14">
                  <w:pPr>
                    <w:spacing w:line="360" w:lineRule="auto"/>
                    <w:jc w:val="center"/>
                    <w:rPr>
                      <w:rFonts w:hint="eastAsia" w:ascii="仿宋" w:hAnsi="仿宋" w:eastAsia="仿宋" w:cs="仿宋"/>
                      <w:sz w:val="21"/>
                      <w:szCs w:val="21"/>
                    </w:rPr>
                  </w:pP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D7E295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食堂楼面</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B89685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桌椅整洁、定位放置、桌椅表面无灰尘</w:t>
                  </w:r>
                </w:p>
              </w:tc>
            </w:tr>
            <w:tr w14:paraId="07EDAFE1">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E7DEA55"/>
              </w:tc>
              <w:tc>
                <w:tcPr>
                  <w:tcW w:w="706" w:type="dxa"/>
                  <w:vMerge w:val="continue"/>
                  <w:tcBorders>
                    <w:top w:val="nil"/>
                    <w:left w:val="nil"/>
                    <w:bottom w:val="single" w:color="000000" w:sz="4" w:space="0"/>
                    <w:right w:val="single" w:color="000000" w:sz="4" w:space="0"/>
                  </w:tcBorders>
                  <w:shd w:val="clear" w:color="auto" w:fill="auto"/>
                  <w:vAlign w:val="center"/>
                </w:tcPr>
                <w:p w14:paraId="0A91C688"/>
              </w:tc>
              <w:tc>
                <w:tcPr>
                  <w:tcW w:w="1603" w:type="dxa"/>
                  <w:vMerge w:val="continue"/>
                  <w:tcBorders>
                    <w:top w:val="nil"/>
                    <w:left w:val="nil"/>
                    <w:bottom w:val="single" w:color="000000" w:sz="4" w:space="0"/>
                    <w:right w:val="single" w:color="000000" w:sz="4" w:space="0"/>
                  </w:tcBorders>
                  <w:shd w:val="clear" w:color="auto" w:fill="auto"/>
                  <w:vAlign w:val="center"/>
                </w:tcPr>
                <w:p w14:paraId="6A53EEA0"/>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79DCEE9"/>
              </w:tc>
            </w:tr>
            <w:tr w14:paraId="1C2A788B">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08F3B2F7">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4</w:t>
                  </w:r>
                  <w:r>
                    <w:rPr>
                      <w:rFonts w:hint="eastAsia" w:ascii="仿宋" w:hAnsi="仿宋" w:eastAsia="仿宋" w:cs="仿宋"/>
                      <w:color w:val="000000"/>
                      <w:sz w:val="21"/>
                      <w:szCs w:val="21"/>
                      <w:lang w:val="en-US" w:eastAsia="zh-CN"/>
                    </w:rPr>
                    <w:t>4</w:t>
                  </w:r>
                </w:p>
              </w:tc>
              <w:tc>
                <w:tcPr>
                  <w:tcW w:w="706" w:type="dxa"/>
                  <w:vMerge w:val="continue"/>
                  <w:tcBorders>
                    <w:top w:val="nil"/>
                    <w:left w:val="nil"/>
                    <w:bottom w:val="single" w:color="000000" w:sz="4" w:space="0"/>
                    <w:right w:val="single" w:color="000000" w:sz="4" w:space="0"/>
                  </w:tcBorders>
                  <w:shd w:val="clear" w:color="auto" w:fill="auto"/>
                  <w:vAlign w:val="center"/>
                </w:tcPr>
                <w:p w14:paraId="5F84DCB8">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50D047B4">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05DA264D">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窗帘、地毯整洁，无污渍、无异味，并制定清洁操作要求</w:t>
                  </w:r>
                </w:p>
              </w:tc>
            </w:tr>
            <w:tr w14:paraId="58B0D9E6">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D4FDA22">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45</w:t>
                  </w:r>
                </w:p>
              </w:tc>
              <w:tc>
                <w:tcPr>
                  <w:tcW w:w="706" w:type="dxa"/>
                  <w:vMerge w:val="continue"/>
                  <w:tcBorders>
                    <w:top w:val="nil"/>
                    <w:left w:val="nil"/>
                    <w:bottom w:val="single" w:color="000000" w:sz="4" w:space="0"/>
                    <w:right w:val="single" w:color="000000" w:sz="4" w:space="0"/>
                  </w:tcBorders>
                  <w:shd w:val="clear" w:color="auto" w:fill="auto"/>
                  <w:vAlign w:val="center"/>
                </w:tcPr>
                <w:p w14:paraId="5C29C78F">
                  <w:pPr>
                    <w:spacing w:line="360" w:lineRule="auto"/>
                    <w:jc w:val="center"/>
                    <w:rPr>
                      <w:rFonts w:hint="eastAsia" w:ascii="仿宋" w:hAnsi="仿宋" w:eastAsia="仿宋" w:cs="仿宋"/>
                      <w:sz w:val="21"/>
                      <w:szCs w:val="21"/>
                    </w:rPr>
                  </w:pPr>
                </w:p>
              </w:tc>
              <w:tc>
                <w:tcPr>
                  <w:tcW w:w="1603" w:type="dxa"/>
                  <w:vMerge w:val="restar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97F0DD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冰箱冷库</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7693B5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水产品类、畜禽肉类、果蔬类必须独立分开存放</w:t>
                  </w:r>
                </w:p>
              </w:tc>
            </w:tr>
            <w:tr w14:paraId="0E4DF309">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0BD034A1">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46</w:t>
                  </w:r>
                </w:p>
              </w:tc>
              <w:tc>
                <w:tcPr>
                  <w:tcW w:w="706" w:type="dxa"/>
                  <w:vMerge w:val="continue"/>
                  <w:tcBorders>
                    <w:top w:val="nil"/>
                    <w:left w:val="nil"/>
                    <w:bottom w:val="single" w:color="000000" w:sz="4" w:space="0"/>
                    <w:right w:val="single" w:color="000000" w:sz="4" w:space="0"/>
                  </w:tcBorders>
                  <w:shd w:val="clear" w:color="auto" w:fill="auto"/>
                  <w:vAlign w:val="center"/>
                </w:tcPr>
                <w:p w14:paraId="5C0BF460">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34E63C0C">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01C146D">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所有食品必须上盖或上保鲜膜进行防护</w:t>
                  </w:r>
                </w:p>
              </w:tc>
            </w:tr>
            <w:tr w14:paraId="156C039B">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FD64096">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47</w:t>
                  </w:r>
                </w:p>
              </w:tc>
              <w:tc>
                <w:tcPr>
                  <w:tcW w:w="706" w:type="dxa"/>
                  <w:vMerge w:val="continue"/>
                  <w:tcBorders>
                    <w:top w:val="nil"/>
                    <w:left w:val="nil"/>
                    <w:bottom w:val="single" w:color="000000" w:sz="4" w:space="0"/>
                    <w:right w:val="single" w:color="000000" w:sz="4" w:space="0"/>
                  </w:tcBorders>
                  <w:shd w:val="clear" w:color="auto" w:fill="auto"/>
                  <w:vAlign w:val="center"/>
                </w:tcPr>
                <w:p w14:paraId="6A5DE2A9">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217575D6">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19102B3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生熟必须分开存放（原料、半成品、熟制品必须分开）</w:t>
                  </w:r>
                </w:p>
              </w:tc>
            </w:tr>
            <w:tr w14:paraId="7A16CD0A">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4BAEFF08">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48</w:t>
                  </w:r>
                </w:p>
              </w:tc>
              <w:tc>
                <w:tcPr>
                  <w:tcW w:w="706" w:type="dxa"/>
                  <w:vMerge w:val="continue"/>
                  <w:tcBorders>
                    <w:top w:val="nil"/>
                    <w:left w:val="nil"/>
                    <w:bottom w:val="single" w:color="000000" w:sz="4" w:space="0"/>
                    <w:right w:val="single" w:color="000000" w:sz="4" w:space="0"/>
                  </w:tcBorders>
                  <w:shd w:val="clear" w:color="auto" w:fill="auto"/>
                  <w:vAlign w:val="center"/>
                </w:tcPr>
                <w:p w14:paraId="0C44FD68">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625E1C60">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1D78AD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门的胶圈无水渍、无污渍</w:t>
                  </w:r>
                </w:p>
              </w:tc>
            </w:tr>
            <w:tr w14:paraId="679025CD">
              <w:tblPrEx>
                <w:shd w:val="clear" w:color="auto" w:fill="auto"/>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4E911A2">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49</w:t>
                  </w:r>
                </w:p>
              </w:tc>
              <w:tc>
                <w:tcPr>
                  <w:tcW w:w="706" w:type="dxa"/>
                  <w:vMerge w:val="continue"/>
                  <w:tcBorders>
                    <w:top w:val="nil"/>
                    <w:left w:val="nil"/>
                    <w:bottom w:val="single" w:color="000000" w:sz="4" w:space="0"/>
                    <w:right w:val="single" w:color="000000" w:sz="4" w:space="0"/>
                  </w:tcBorders>
                  <w:shd w:val="clear" w:color="auto" w:fill="auto"/>
                  <w:vAlign w:val="center"/>
                </w:tcPr>
                <w:p w14:paraId="052E1E09">
                  <w:pPr>
                    <w:spacing w:line="360" w:lineRule="auto"/>
                    <w:jc w:val="center"/>
                    <w:rPr>
                      <w:rFonts w:hint="eastAsia" w:ascii="仿宋" w:hAnsi="仿宋" w:eastAsia="仿宋" w:cs="仿宋"/>
                      <w:sz w:val="21"/>
                      <w:szCs w:val="21"/>
                    </w:rPr>
                  </w:pPr>
                </w:p>
              </w:tc>
              <w:tc>
                <w:tcPr>
                  <w:tcW w:w="1603" w:type="dxa"/>
                  <w:vMerge w:val="continue"/>
                  <w:tcBorders>
                    <w:top w:val="nil"/>
                    <w:left w:val="nil"/>
                    <w:bottom w:val="single" w:color="000000" w:sz="4" w:space="0"/>
                    <w:right w:val="single" w:color="000000" w:sz="4" w:space="0"/>
                  </w:tcBorders>
                  <w:shd w:val="clear" w:color="auto" w:fill="auto"/>
                  <w:vAlign w:val="center"/>
                </w:tcPr>
                <w:p w14:paraId="10AD9C90">
                  <w:pPr>
                    <w:spacing w:line="360" w:lineRule="auto"/>
                    <w:jc w:val="center"/>
                    <w:rPr>
                      <w:rFonts w:hint="eastAsia" w:ascii="仿宋" w:hAnsi="仿宋" w:eastAsia="仿宋" w:cs="仿宋"/>
                      <w:sz w:val="21"/>
                      <w:szCs w:val="21"/>
                    </w:rPr>
                  </w:pP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023C5AC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冷藏（保鲜）温度0-10℃；冷冻（急冻）温度为-18℃以下</w:t>
                  </w:r>
                </w:p>
              </w:tc>
            </w:tr>
            <w:tr w14:paraId="118B02D5">
              <w:tblPrEx>
                <w:tblCellMar>
                  <w:top w:w="0" w:type="dxa"/>
                  <w:left w:w="108" w:type="dxa"/>
                  <w:bottom w:w="0" w:type="dxa"/>
                  <w:right w:w="108" w:type="dxa"/>
                </w:tblCellMar>
              </w:tblPrEx>
              <w:tc>
                <w:tcPr>
                  <w:tcW w:w="548"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2CE9EDD9">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5</w:t>
                  </w:r>
                  <w:r>
                    <w:rPr>
                      <w:rFonts w:hint="eastAsia" w:ascii="仿宋" w:hAnsi="仿宋" w:eastAsia="仿宋" w:cs="仿宋"/>
                      <w:color w:val="000000"/>
                      <w:sz w:val="21"/>
                      <w:szCs w:val="21"/>
                      <w:lang w:val="en-US" w:eastAsia="zh-CN"/>
                    </w:rPr>
                    <w:t>0</w:t>
                  </w:r>
                </w:p>
              </w:tc>
              <w:tc>
                <w:tcPr>
                  <w:tcW w:w="706" w:type="dxa"/>
                  <w:vMerge w:val="continue"/>
                  <w:tcBorders>
                    <w:top w:val="nil"/>
                    <w:left w:val="nil"/>
                    <w:bottom w:val="single" w:color="000000" w:sz="4" w:space="0"/>
                    <w:right w:val="single" w:color="000000" w:sz="4" w:space="0"/>
                  </w:tcBorders>
                  <w:shd w:val="clear" w:color="auto" w:fill="auto"/>
                  <w:vAlign w:val="center"/>
                </w:tcPr>
                <w:p w14:paraId="5A4C295A">
                  <w:pPr>
                    <w:spacing w:line="360" w:lineRule="auto"/>
                    <w:jc w:val="center"/>
                    <w:rPr>
                      <w:rFonts w:hint="eastAsia" w:ascii="仿宋" w:hAnsi="仿宋" w:eastAsia="仿宋" w:cs="仿宋"/>
                      <w:sz w:val="21"/>
                      <w:szCs w:val="21"/>
                    </w:rPr>
                  </w:pPr>
                </w:p>
              </w:tc>
              <w:tc>
                <w:tcPr>
                  <w:tcW w:w="1603"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09339C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下水道</w:t>
                  </w:r>
                </w:p>
              </w:tc>
              <w:tc>
                <w:tcPr>
                  <w:tcW w:w="5446"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BAAF53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下水道每日清理，无沉积污水、污物</w:t>
                  </w:r>
                </w:p>
              </w:tc>
            </w:tr>
            <w:tr w14:paraId="63667EC8">
              <w:tblPrEx>
                <w:tblCellMar>
                  <w:top w:w="0" w:type="dxa"/>
                  <w:left w:w="108" w:type="dxa"/>
                  <w:bottom w:w="0" w:type="dxa"/>
                  <w:right w:w="108" w:type="dxa"/>
                </w:tblCellMar>
              </w:tblPrEx>
              <w:tc>
                <w:tcPr>
                  <w:tcW w:w="548" w:type="dxa"/>
                  <w:tcBorders>
                    <w:top w:val="nil"/>
                    <w:left w:val="single" w:color="000000" w:sz="4" w:space="0"/>
                    <w:bottom w:val="nil"/>
                    <w:right w:val="nil"/>
                  </w:tcBorders>
                  <w:shd w:val="clear" w:color="auto" w:fill="auto"/>
                  <w:tcMar>
                    <w:top w:w="0" w:type="dxa"/>
                    <w:left w:w="105" w:type="dxa"/>
                    <w:bottom w:w="0" w:type="dxa"/>
                    <w:right w:w="105" w:type="dxa"/>
                  </w:tcMar>
                  <w:vAlign w:val="center"/>
                </w:tcPr>
                <w:p w14:paraId="377C21D5">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5</w:t>
                  </w:r>
                  <w:r>
                    <w:rPr>
                      <w:rFonts w:hint="eastAsia" w:ascii="仿宋" w:hAnsi="仿宋" w:eastAsia="仿宋" w:cs="仿宋"/>
                      <w:color w:val="000000"/>
                      <w:sz w:val="21"/>
                      <w:szCs w:val="21"/>
                      <w:lang w:val="en-US" w:eastAsia="zh-CN"/>
                    </w:rPr>
                    <w:t>1</w:t>
                  </w:r>
                </w:p>
              </w:tc>
              <w:tc>
                <w:tcPr>
                  <w:tcW w:w="706" w:type="dxa"/>
                  <w:vMerge w:val="restart"/>
                  <w:tcBorders>
                    <w:top w:val="nil"/>
                    <w:left w:val="single" w:color="000000" w:sz="4" w:space="0"/>
                    <w:bottom w:val="nil"/>
                    <w:right w:val="nil"/>
                  </w:tcBorders>
                  <w:shd w:val="clear" w:color="auto" w:fill="auto"/>
                  <w:tcMar>
                    <w:top w:w="0" w:type="dxa"/>
                    <w:left w:w="105" w:type="dxa"/>
                    <w:bottom w:w="0" w:type="dxa"/>
                    <w:right w:w="105" w:type="dxa"/>
                  </w:tcMar>
                  <w:vAlign w:val="center"/>
                </w:tcPr>
                <w:p w14:paraId="5B3584F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食品安全管理</w:t>
                  </w:r>
                </w:p>
              </w:tc>
              <w:tc>
                <w:tcPr>
                  <w:tcW w:w="1603" w:type="dxa"/>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EE2E13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索证以及资料</w:t>
                  </w:r>
                </w:p>
              </w:tc>
              <w:tc>
                <w:tcPr>
                  <w:tcW w:w="5446" w:type="dxa"/>
                  <w:tcBorders>
                    <w:top w:val="nil"/>
                    <w:left w:val="nil"/>
                    <w:bottom w:val="nil"/>
                    <w:right w:val="single" w:color="000000" w:sz="4" w:space="0"/>
                  </w:tcBorders>
                  <w:shd w:val="clear" w:color="auto" w:fill="auto"/>
                  <w:tcMar>
                    <w:top w:w="0" w:type="dxa"/>
                    <w:left w:w="105" w:type="dxa"/>
                    <w:bottom w:w="0" w:type="dxa"/>
                    <w:right w:w="105" w:type="dxa"/>
                  </w:tcMar>
                  <w:vAlign w:val="center"/>
                </w:tcPr>
                <w:p w14:paraId="61BDEE8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食品台账资料完整（有管理组织文件、人员名单、管理制度、管理表格、人员健康证资料等）</w:t>
                  </w:r>
                </w:p>
              </w:tc>
            </w:tr>
            <w:tr w14:paraId="50A1DC9B">
              <w:tblPrEx>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2AEA9629">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5</w:t>
                  </w:r>
                  <w:r>
                    <w:rPr>
                      <w:rFonts w:hint="eastAsia" w:ascii="仿宋" w:hAnsi="仿宋" w:eastAsia="仿宋" w:cs="仿宋"/>
                      <w:color w:val="000000"/>
                      <w:sz w:val="21"/>
                      <w:szCs w:val="21"/>
                      <w:lang w:val="en-US" w:eastAsia="zh-CN"/>
                    </w:rPr>
                    <w:t>2</w:t>
                  </w:r>
                </w:p>
              </w:tc>
              <w:tc>
                <w:tcPr>
                  <w:tcW w:w="706" w:type="dxa"/>
                  <w:vMerge w:val="continue"/>
                  <w:tcBorders>
                    <w:top w:val="nil"/>
                    <w:left w:val="single" w:color="000000" w:sz="4" w:space="0"/>
                    <w:bottom w:val="nil"/>
                    <w:right w:val="nil"/>
                  </w:tcBorders>
                  <w:shd w:val="clear" w:color="auto" w:fill="auto"/>
                  <w:vAlign w:val="center"/>
                </w:tcPr>
                <w:p w14:paraId="6682BA81">
                  <w:pPr>
                    <w:spacing w:line="360" w:lineRule="auto"/>
                    <w:jc w:val="center"/>
                    <w:rPr>
                      <w:rFonts w:hint="eastAsia" w:ascii="仿宋" w:hAnsi="仿宋" w:eastAsia="仿宋" w:cs="仿宋"/>
                      <w:sz w:val="21"/>
                      <w:szCs w:val="21"/>
                    </w:rPr>
                  </w:pPr>
                </w:p>
              </w:tc>
              <w:tc>
                <w:tcPr>
                  <w:tcW w:w="1603" w:type="dxa"/>
                  <w:vMerge w:val="restart"/>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348191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安全生产操作</w:t>
                  </w:r>
                </w:p>
              </w:tc>
              <w:tc>
                <w:tcPr>
                  <w:tcW w:w="5446" w:type="dxa"/>
                  <w:tcBorders>
                    <w:top w:val="single" w:color="000000" w:sz="4" w:space="0"/>
                    <w:left w:val="nil"/>
                    <w:bottom w:val="nil"/>
                    <w:right w:val="single" w:color="000000" w:sz="4" w:space="0"/>
                  </w:tcBorders>
                  <w:shd w:val="clear" w:color="auto" w:fill="auto"/>
                  <w:tcMar>
                    <w:top w:w="0" w:type="dxa"/>
                    <w:left w:w="105" w:type="dxa"/>
                    <w:bottom w:w="0" w:type="dxa"/>
                    <w:right w:w="105" w:type="dxa"/>
                  </w:tcMar>
                  <w:vAlign w:val="center"/>
                </w:tcPr>
                <w:p w14:paraId="506AD34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电路电线无外露，开关、电控箱保持良好</w:t>
                  </w:r>
                </w:p>
              </w:tc>
            </w:tr>
            <w:tr w14:paraId="63C5CAA0">
              <w:tblPrEx>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01A0AC0D">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5</w:t>
                  </w:r>
                  <w:r>
                    <w:rPr>
                      <w:rFonts w:hint="eastAsia" w:ascii="仿宋" w:hAnsi="仿宋" w:eastAsia="仿宋" w:cs="仿宋"/>
                      <w:color w:val="000000"/>
                      <w:sz w:val="21"/>
                      <w:szCs w:val="21"/>
                      <w:lang w:val="en-US" w:eastAsia="zh-CN"/>
                    </w:rPr>
                    <w:t>3</w:t>
                  </w:r>
                </w:p>
              </w:tc>
              <w:tc>
                <w:tcPr>
                  <w:tcW w:w="706" w:type="dxa"/>
                  <w:vMerge w:val="continue"/>
                  <w:tcBorders>
                    <w:top w:val="nil"/>
                    <w:left w:val="single" w:color="000000" w:sz="4" w:space="0"/>
                    <w:bottom w:val="nil"/>
                    <w:right w:val="nil"/>
                  </w:tcBorders>
                  <w:shd w:val="clear" w:color="auto" w:fill="auto"/>
                  <w:vAlign w:val="center"/>
                </w:tcPr>
                <w:p w14:paraId="312C1EFA">
                  <w:pPr>
                    <w:spacing w:line="360" w:lineRule="auto"/>
                    <w:jc w:val="center"/>
                    <w:rPr>
                      <w:rFonts w:hint="eastAsia" w:ascii="仿宋" w:hAnsi="仿宋" w:eastAsia="仿宋" w:cs="仿宋"/>
                      <w:sz w:val="21"/>
                      <w:szCs w:val="21"/>
                    </w:rPr>
                  </w:pPr>
                </w:p>
              </w:tc>
              <w:tc>
                <w:tcPr>
                  <w:tcW w:w="1603" w:type="dxa"/>
                  <w:vMerge w:val="continue"/>
                  <w:tcBorders>
                    <w:top w:val="nil"/>
                    <w:left w:val="single" w:color="000000" w:sz="4" w:space="0"/>
                    <w:bottom w:val="single" w:color="000000" w:sz="4" w:space="0"/>
                    <w:right w:val="single" w:color="000000" w:sz="4" w:space="0"/>
                  </w:tcBorders>
                  <w:shd w:val="clear" w:color="auto" w:fill="auto"/>
                  <w:vAlign w:val="center"/>
                </w:tcPr>
                <w:p w14:paraId="7C18B28E">
                  <w:pPr>
                    <w:spacing w:line="360" w:lineRule="auto"/>
                    <w:jc w:val="center"/>
                    <w:rPr>
                      <w:rFonts w:hint="eastAsia" w:ascii="仿宋" w:hAnsi="仿宋" w:eastAsia="仿宋" w:cs="仿宋"/>
                      <w:sz w:val="21"/>
                      <w:szCs w:val="21"/>
                    </w:rPr>
                  </w:pPr>
                </w:p>
              </w:tc>
              <w:tc>
                <w:tcPr>
                  <w:tcW w:w="5446" w:type="dxa"/>
                  <w:tcBorders>
                    <w:top w:val="single" w:color="000000" w:sz="4" w:space="0"/>
                    <w:left w:val="nil"/>
                    <w:bottom w:val="nil"/>
                    <w:right w:val="single" w:color="000000" w:sz="4" w:space="0"/>
                  </w:tcBorders>
                  <w:shd w:val="clear" w:color="auto" w:fill="auto"/>
                  <w:tcMar>
                    <w:top w:w="0" w:type="dxa"/>
                    <w:left w:w="105" w:type="dxa"/>
                    <w:bottom w:w="0" w:type="dxa"/>
                    <w:right w:w="105" w:type="dxa"/>
                  </w:tcMar>
                  <w:vAlign w:val="center"/>
                </w:tcPr>
                <w:p w14:paraId="36C5C94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消防设施维护良好，无损坏现象</w:t>
                  </w:r>
                </w:p>
              </w:tc>
            </w:tr>
            <w:tr w14:paraId="684323C8">
              <w:tblPrEx>
                <w:shd w:val="clear" w:color="auto" w:fill="auto"/>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4C71FBAD">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rPr>
                    <w:t>5</w:t>
                  </w:r>
                  <w:r>
                    <w:rPr>
                      <w:rFonts w:hint="eastAsia" w:ascii="仿宋" w:hAnsi="仿宋" w:eastAsia="仿宋" w:cs="仿宋"/>
                      <w:color w:val="000000"/>
                      <w:sz w:val="21"/>
                      <w:szCs w:val="21"/>
                      <w:lang w:val="en-US" w:eastAsia="zh-CN"/>
                    </w:rPr>
                    <w:t>4</w:t>
                  </w:r>
                </w:p>
              </w:tc>
              <w:tc>
                <w:tcPr>
                  <w:tcW w:w="706" w:type="dxa"/>
                  <w:vMerge w:val="continue"/>
                  <w:tcBorders>
                    <w:top w:val="nil"/>
                    <w:left w:val="single" w:color="000000" w:sz="4" w:space="0"/>
                    <w:bottom w:val="nil"/>
                    <w:right w:val="nil"/>
                  </w:tcBorders>
                  <w:shd w:val="clear" w:color="auto" w:fill="auto"/>
                  <w:vAlign w:val="center"/>
                </w:tcPr>
                <w:p w14:paraId="69AA2ED8">
                  <w:pPr>
                    <w:spacing w:line="360" w:lineRule="auto"/>
                    <w:jc w:val="center"/>
                    <w:rPr>
                      <w:rFonts w:hint="eastAsia" w:ascii="仿宋" w:hAnsi="仿宋" w:eastAsia="仿宋" w:cs="仿宋"/>
                      <w:sz w:val="21"/>
                      <w:szCs w:val="21"/>
                    </w:rPr>
                  </w:pPr>
                </w:p>
              </w:tc>
              <w:tc>
                <w:tcPr>
                  <w:tcW w:w="1603" w:type="dxa"/>
                  <w:vMerge w:val="continue"/>
                  <w:tcBorders>
                    <w:top w:val="nil"/>
                    <w:left w:val="single" w:color="000000" w:sz="4" w:space="0"/>
                    <w:bottom w:val="single" w:color="000000" w:sz="4" w:space="0"/>
                    <w:right w:val="single" w:color="000000" w:sz="4" w:space="0"/>
                  </w:tcBorders>
                  <w:shd w:val="clear" w:color="auto" w:fill="auto"/>
                  <w:vAlign w:val="center"/>
                </w:tcPr>
                <w:p w14:paraId="3D3EEB66">
                  <w:pPr>
                    <w:spacing w:line="360" w:lineRule="auto"/>
                    <w:jc w:val="center"/>
                    <w:rPr>
                      <w:rFonts w:hint="eastAsia" w:ascii="仿宋" w:hAnsi="仿宋" w:eastAsia="仿宋" w:cs="仿宋"/>
                      <w:sz w:val="21"/>
                      <w:szCs w:val="21"/>
                    </w:rPr>
                  </w:pPr>
                </w:p>
              </w:tc>
              <w:tc>
                <w:tcPr>
                  <w:tcW w:w="5446" w:type="dxa"/>
                  <w:tcBorders>
                    <w:top w:val="single" w:color="000000" w:sz="4" w:space="0"/>
                    <w:left w:val="nil"/>
                    <w:bottom w:val="nil"/>
                    <w:right w:val="single" w:color="000000" w:sz="4" w:space="0"/>
                  </w:tcBorders>
                  <w:shd w:val="clear" w:color="auto" w:fill="auto"/>
                  <w:tcMar>
                    <w:top w:w="0" w:type="dxa"/>
                    <w:left w:w="105" w:type="dxa"/>
                    <w:bottom w:w="0" w:type="dxa"/>
                    <w:right w:w="105" w:type="dxa"/>
                  </w:tcMar>
                  <w:vAlign w:val="center"/>
                </w:tcPr>
                <w:p w14:paraId="74E7E01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设备清洁时有关闭电源再清洁</w:t>
                  </w:r>
                </w:p>
              </w:tc>
            </w:tr>
            <w:tr w14:paraId="59FF8C51">
              <w:tblPrEx>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36D95125">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55</w:t>
                  </w:r>
                </w:p>
              </w:tc>
              <w:tc>
                <w:tcPr>
                  <w:tcW w:w="706" w:type="dxa"/>
                  <w:vMerge w:val="continue"/>
                  <w:tcBorders>
                    <w:top w:val="nil"/>
                    <w:left w:val="single" w:color="000000" w:sz="4" w:space="0"/>
                    <w:bottom w:val="nil"/>
                    <w:right w:val="nil"/>
                  </w:tcBorders>
                  <w:shd w:val="clear" w:color="auto" w:fill="auto"/>
                  <w:vAlign w:val="center"/>
                </w:tcPr>
                <w:p w14:paraId="6ADDC4B8">
                  <w:pPr>
                    <w:spacing w:line="360" w:lineRule="auto"/>
                    <w:jc w:val="center"/>
                    <w:rPr>
                      <w:rFonts w:hint="eastAsia" w:ascii="仿宋" w:hAnsi="仿宋" w:eastAsia="仿宋" w:cs="仿宋"/>
                      <w:sz w:val="21"/>
                      <w:szCs w:val="21"/>
                    </w:rPr>
                  </w:pPr>
                </w:p>
              </w:tc>
              <w:tc>
                <w:tcPr>
                  <w:tcW w:w="1603" w:type="dxa"/>
                  <w:vMerge w:val="continue"/>
                  <w:tcBorders>
                    <w:top w:val="nil"/>
                    <w:left w:val="single" w:color="000000" w:sz="4" w:space="0"/>
                    <w:bottom w:val="single" w:color="000000" w:sz="4" w:space="0"/>
                    <w:right w:val="single" w:color="000000" w:sz="4" w:space="0"/>
                  </w:tcBorders>
                  <w:shd w:val="clear" w:color="auto" w:fill="auto"/>
                  <w:vAlign w:val="center"/>
                </w:tcPr>
                <w:p w14:paraId="2B147EF3">
                  <w:pPr>
                    <w:spacing w:line="360" w:lineRule="auto"/>
                    <w:jc w:val="center"/>
                    <w:rPr>
                      <w:rFonts w:hint="eastAsia" w:ascii="仿宋" w:hAnsi="仿宋" w:eastAsia="仿宋" w:cs="仿宋"/>
                      <w:sz w:val="21"/>
                      <w:szCs w:val="21"/>
                    </w:rPr>
                  </w:pPr>
                </w:p>
              </w:tc>
              <w:tc>
                <w:tcPr>
                  <w:tcW w:w="5446" w:type="dxa"/>
                  <w:tcBorders>
                    <w:top w:val="single" w:color="000000" w:sz="4" w:space="0"/>
                    <w:left w:val="nil"/>
                    <w:bottom w:val="nil"/>
                    <w:right w:val="single" w:color="000000" w:sz="4" w:space="0"/>
                  </w:tcBorders>
                  <w:shd w:val="clear" w:color="auto" w:fill="auto"/>
                  <w:tcMar>
                    <w:top w:w="0" w:type="dxa"/>
                    <w:left w:w="105" w:type="dxa"/>
                    <w:bottom w:w="0" w:type="dxa"/>
                    <w:right w:w="105" w:type="dxa"/>
                  </w:tcMar>
                  <w:vAlign w:val="center"/>
                </w:tcPr>
                <w:p w14:paraId="7B0C618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设备操作人员必须有经过培训，有提供培训记录</w:t>
                  </w:r>
                </w:p>
              </w:tc>
            </w:tr>
            <w:tr w14:paraId="08B0891F">
              <w:tblPrEx>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0450F795">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56</w:t>
                  </w:r>
                </w:p>
              </w:tc>
              <w:tc>
                <w:tcPr>
                  <w:tcW w:w="706" w:type="dxa"/>
                  <w:vMerge w:val="continue"/>
                  <w:tcBorders>
                    <w:top w:val="nil"/>
                    <w:left w:val="single" w:color="000000" w:sz="4" w:space="0"/>
                    <w:bottom w:val="nil"/>
                    <w:right w:val="nil"/>
                  </w:tcBorders>
                  <w:shd w:val="clear" w:color="auto" w:fill="auto"/>
                  <w:vAlign w:val="center"/>
                </w:tcPr>
                <w:p w14:paraId="1387FA6F">
                  <w:pPr>
                    <w:spacing w:line="360" w:lineRule="auto"/>
                    <w:jc w:val="center"/>
                    <w:rPr>
                      <w:rFonts w:hint="eastAsia" w:ascii="仿宋" w:hAnsi="仿宋" w:eastAsia="仿宋" w:cs="仿宋"/>
                      <w:sz w:val="21"/>
                      <w:szCs w:val="21"/>
                    </w:rPr>
                  </w:pPr>
                </w:p>
              </w:tc>
              <w:tc>
                <w:tcPr>
                  <w:tcW w:w="1603" w:type="dxa"/>
                  <w:vMerge w:val="continue"/>
                  <w:tcBorders>
                    <w:top w:val="nil"/>
                    <w:left w:val="single" w:color="000000" w:sz="4" w:space="0"/>
                    <w:bottom w:val="single" w:color="000000" w:sz="4" w:space="0"/>
                    <w:right w:val="single" w:color="000000" w:sz="4" w:space="0"/>
                  </w:tcBorders>
                  <w:shd w:val="clear" w:color="auto" w:fill="auto"/>
                  <w:vAlign w:val="center"/>
                </w:tcPr>
                <w:p w14:paraId="31FDF838">
                  <w:pPr>
                    <w:spacing w:line="360" w:lineRule="auto"/>
                    <w:jc w:val="center"/>
                    <w:rPr>
                      <w:rFonts w:hint="eastAsia" w:ascii="仿宋" w:hAnsi="仿宋" w:eastAsia="仿宋" w:cs="仿宋"/>
                      <w:sz w:val="21"/>
                      <w:szCs w:val="21"/>
                    </w:rPr>
                  </w:pPr>
                </w:p>
              </w:tc>
              <w:tc>
                <w:tcPr>
                  <w:tcW w:w="5446" w:type="dxa"/>
                  <w:tcBorders>
                    <w:top w:val="single" w:color="000000" w:sz="4" w:space="0"/>
                    <w:left w:val="nil"/>
                    <w:bottom w:val="nil"/>
                    <w:right w:val="single" w:color="000000" w:sz="4" w:space="0"/>
                  </w:tcBorders>
                  <w:shd w:val="clear" w:color="auto" w:fill="auto"/>
                  <w:tcMar>
                    <w:top w:w="0" w:type="dxa"/>
                    <w:left w:w="105" w:type="dxa"/>
                    <w:bottom w:w="0" w:type="dxa"/>
                    <w:right w:w="105" w:type="dxa"/>
                  </w:tcMar>
                  <w:vAlign w:val="center"/>
                </w:tcPr>
                <w:p w14:paraId="0435821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不使用违禁食品、食品添加剂、化学品</w:t>
                  </w:r>
                </w:p>
              </w:tc>
            </w:tr>
            <w:tr w14:paraId="2B69B00E">
              <w:tblPrEx>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58DA6A30">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57</w:t>
                  </w:r>
                </w:p>
              </w:tc>
              <w:tc>
                <w:tcPr>
                  <w:tcW w:w="706" w:type="dxa"/>
                  <w:vMerge w:val="restart"/>
                  <w:tcBorders>
                    <w:top w:val="single" w:color="000000" w:sz="4" w:space="0"/>
                    <w:left w:val="single" w:color="000000" w:sz="4" w:space="0"/>
                    <w:bottom w:val="single" w:color="000000" w:sz="4" w:space="0"/>
                    <w:right w:val="nil"/>
                  </w:tcBorders>
                  <w:shd w:val="clear" w:color="auto" w:fill="auto"/>
                  <w:tcMar>
                    <w:top w:w="0" w:type="dxa"/>
                    <w:left w:w="105" w:type="dxa"/>
                    <w:bottom w:w="0" w:type="dxa"/>
                    <w:right w:w="105" w:type="dxa"/>
                  </w:tcMar>
                  <w:vAlign w:val="center"/>
                </w:tcPr>
                <w:p w14:paraId="59043C4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个人卫生管理</w:t>
                  </w:r>
                </w:p>
              </w:tc>
              <w:tc>
                <w:tcPr>
                  <w:tcW w:w="1603" w:type="dxa"/>
                  <w:tcBorders>
                    <w:top w:val="nil"/>
                    <w:left w:val="single" w:color="000000" w:sz="4" w:space="0"/>
                    <w:bottom w:val="nil"/>
                    <w:right w:val="nil"/>
                  </w:tcBorders>
                  <w:shd w:val="clear" w:color="auto" w:fill="auto"/>
                  <w:tcMar>
                    <w:top w:w="0" w:type="dxa"/>
                    <w:left w:w="105" w:type="dxa"/>
                    <w:bottom w:w="0" w:type="dxa"/>
                    <w:right w:w="105" w:type="dxa"/>
                  </w:tcMar>
                  <w:vAlign w:val="center"/>
                </w:tcPr>
                <w:p w14:paraId="080ED06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仪容仪表</w:t>
                  </w:r>
                </w:p>
              </w:tc>
              <w:tc>
                <w:tcPr>
                  <w:tcW w:w="5446" w:type="dxa"/>
                  <w:tcBorders>
                    <w:top w:val="single" w:color="000000" w:sz="4" w:space="0"/>
                    <w:left w:val="single" w:color="000000" w:sz="4" w:space="0"/>
                    <w:bottom w:val="nil"/>
                    <w:right w:val="single" w:color="000000" w:sz="4" w:space="0"/>
                  </w:tcBorders>
                  <w:shd w:val="clear" w:color="auto" w:fill="auto"/>
                  <w:tcMar>
                    <w:top w:w="0" w:type="dxa"/>
                    <w:left w:w="105" w:type="dxa"/>
                    <w:bottom w:w="0" w:type="dxa"/>
                    <w:right w:w="105" w:type="dxa"/>
                  </w:tcMar>
                  <w:vAlign w:val="center"/>
                </w:tcPr>
                <w:p w14:paraId="02AA0D1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制订各部门员工的制服标准及仪表仪容标准</w:t>
                  </w:r>
                </w:p>
              </w:tc>
            </w:tr>
            <w:tr w14:paraId="5BE1ECAF">
              <w:tblPrEx>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6C6278FB">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58</w:t>
                  </w:r>
                </w:p>
              </w:tc>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6E7E721A">
                  <w:pPr>
                    <w:spacing w:line="360" w:lineRule="auto"/>
                    <w:jc w:val="center"/>
                    <w:rPr>
                      <w:rFonts w:hint="eastAsia" w:ascii="仿宋" w:hAnsi="仿宋" w:eastAsia="仿宋" w:cs="仿宋"/>
                      <w:sz w:val="21"/>
                      <w:szCs w:val="21"/>
                    </w:rPr>
                  </w:pPr>
                </w:p>
              </w:tc>
              <w:tc>
                <w:tcPr>
                  <w:tcW w:w="1603"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750F381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员工</w:t>
                  </w:r>
                </w:p>
              </w:tc>
              <w:tc>
                <w:tcPr>
                  <w:tcW w:w="5446" w:type="dxa"/>
                  <w:tcBorders>
                    <w:top w:val="single" w:color="000000" w:sz="4" w:space="0"/>
                    <w:left w:val="single" w:color="000000" w:sz="4" w:space="0"/>
                    <w:bottom w:val="nil"/>
                    <w:right w:val="single" w:color="000000" w:sz="4" w:space="0"/>
                  </w:tcBorders>
                  <w:shd w:val="clear" w:color="auto" w:fill="auto"/>
                  <w:tcMar>
                    <w:top w:w="0" w:type="dxa"/>
                    <w:left w:w="105" w:type="dxa"/>
                    <w:bottom w:w="0" w:type="dxa"/>
                    <w:right w:w="105" w:type="dxa"/>
                  </w:tcMar>
                  <w:vAlign w:val="center"/>
                </w:tcPr>
                <w:p w14:paraId="1D37777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人员健康证持证率100%</w:t>
                  </w:r>
                </w:p>
              </w:tc>
            </w:tr>
            <w:tr w14:paraId="0F52AF00">
              <w:tblPrEx>
                <w:shd w:val="clear" w:color="auto" w:fill="auto"/>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4BDA2AD9">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59</w:t>
                  </w:r>
                </w:p>
              </w:tc>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5D8E8834">
                  <w:pPr>
                    <w:spacing w:line="360" w:lineRule="auto"/>
                    <w:jc w:val="center"/>
                    <w:rPr>
                      <w:rFonts w:hint="eastAsia" w:ascii="仿宋" w:hAnsi="仿宋" w:eastAsia="仿宋" w:cs="仿宋"/>
                      <w:sz w:val="21"/>
                      <w:szCs w:val="21"/>
                    </w:rPr>
                  </w:pP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2003B4C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个人卫生</w:t>
                  </w:r>
                </w:p>
              </w:tc>
              <w:tc>
                <w:tcPr>
                  <w:tcW w:w="5446" w:type="dxa"/>
                  <w:tcBorders>
                    <w:top w:val="single" w:color="000000" w:sz="4" w:space="0"/>
                    <w:left w:val="nil"/>
                    <w:bottom w:val="nil"/>
                    <w:right w:val="single" w:color="000000" w:sz="4" w:space="0"/>
                  </w:tcBorders>
                  <w:shd w:val="clear" w:color="auto" w:fill="auto"/>
                  <w:tcMar>
                    <w:top w:w="0" w:type="dxa"/>
                    <w:left w:w="105" w:type="dxa"/>
                    <w:bottom w:w="0" w:type="dxa"/>
                    <w:right w:w="105" w:type="dxa"/>
                  </w:tcMar>
                  <w:vAlign w:val="center"/>
                </w:tcPr>
                <w:p w14:paraId="2F92496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人员上岗时穿戴工作衣帽、工作鞋，着装符合要求</w:t>
                  </w:r>
                </w:p>
              </w:tc>
            </w:tr>
            <w:tr w14:paraId="249FA50F">
              <w:tblPrEx>
                <w:shd w:val="clear" w:color="auto" w:fill="auto"/>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5CE819D0">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6</w:t>
                  </w:r>
                  <w:r>
                    <w:rPr>
                      <w:rFonts w:hint="eastAsia" w:ascii="仿宋" w:hAnsi="仿宋" w:eastAsia="仿宋" w:cs="仿宋"/>
                      <w:color w:val="000000"/>
                      <w:sz w:val="21"/>
                      <w:szCs w:val="21"/>
                      <w:lang w:val="en-US" w:eastAsia="zh-CN"/>
                    </w:rPr>
                    <w:t>0</w:t>
                  </w:r>
                </w:p>
              </w:tc>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36A6CC22">
                  <w:pPr>
                    <w:spacing w:line="360" w:lineRule="auto"/>
                    <w:jc w:val="center"/>
                    <w:rPr>
                      <w:rFonts w:hint="eastAsia" w:ascii="仿宋" w:hAnsi="仿宋" w:eastAsia="仿宋" w:cs="仿宋"/>
                      <w:sz w:val="21"/>
                      <w:szCs w:val="21"/>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6923A">
                  <w:pPr>
                    <w:spacing w:line="360" w:lineRule="auto"/>
                    <w:jc w:val="center"/>
                    <w:rPr>
                      <w:rFonts w:hint="eastAsia" w:ascii="仿宋" w:hAnsi="仿宋" w:eastAsia="仿宋" w:cs="仿宋"/>
                      <w:sz w:val="21"/>
                      <w:szCs w:val="21"/>
                    </w:rPr>
                  </w:pPr>
                </w:p>
              </w:tc>
              <w:tc>
                <w:tcPr>
                  <w:tcW w:w="5446" w:type="dxa"/>
                  <w:tcBorders>
                    <w:top w:val="single" w:color="000000" w:sz="4" w:space="0"/>
                    <w:left w:val="nil"/>
                    <w:bottom w:val="nil"/>
                    <w:right w:val="single" w:color="000000" w:sz="4" w:space="0"/>
                  </w:tcBorders>
                  <w:shd w:val="clear" w:color="auto" w:fill="auto"/>
                  <w:tcMar>
                    <w:top w:w="0" w:type="dxa"/>
                    <w:left w:w="105" w:type="dxa"/>
                    <w:bottom w:w="0" w:type="dxa"/>
                    <w:right w:w="105" w:type="dxa"/>
                  </w:tcMar>
                  <w:vAlign w:val="center"/>
                </w:tcPr>
                <w:p w14:paraId="2CF1C3E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人员上洗手间后必须洗手消毒</w:t>
                  </w:r>
                </w:p>
              </w:tc>
            </w:tr>
            <w:tr w14:paraId="0AF2F07E">
              <w:tblPrEx>
                <w:tblCellMar>
                  <w:top w:w="0" w:type="dxa"/>
                  <w:left w:w="108" w:type="dxa"/>
                  <w:bottom w:w="0" w:type="dxa"/>
                  <w:right w:w="108" w:type="dxa"/>
                </w:tblCellMar>
              </w:tblPrEx>
              <w:tc>
                <w:tcPr>
                  <w:tcW w:w="548" w:type="dxa"/>
                  <w:tcBorders>
                    <w:top w:val="single" w:color="000000" w:sz="4" w:space="0"/>
                    <w:left w:val="single" w:color="000000" w:sz="4" w:space="0"/>
                    <w:bottom w:val="nil"/>
                    <w:right w:val="nil"/>
                  </w:tcBorders>
                  <w:shd w:val="clear" w:color="auto" w:fill="auto"/>
                  <w:tcMar>
                    <w:top w:w="0" w:type="dxa"/>
                    <w:left w:w="105" w:type="dxa"/>
                    <w:bottom w:w="0" w:type="dxa"/>
                    <w:right w:w="105" w:type="dxa"/>
                  </w:tcMar>
                  <w:vAlign w:val="center"/>
                </w:tcPr>
                <w:p w14:paraId="538B3C9F">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6</w:t>
                  </w:r>
                  <w:r>
                    <w:rPr>
                      <w:rFonts w:hint="eastAsia" w:ascii="仿宋" w:hAnsi="仿宋" w:eastAsia="仿宋" w:cs="仿宋"/>
                      <w:color w:val="000000"/>
                      <w:sz w:val="21"/>
                      <w:szCs w:val="21"/>
                      <w:lang w:val="en-US" w:eastAsia="zh-CN"/>
                    </w:rPr>
                    <w:t>1</w:t>
                  </w:r>
                </w:p>
              </w:tc>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383E7669">
                  <w:pPr>
                    <w:spacing w:line="360" w:lineRule="auto"/>
                    <w:jc w:val="center"/>
                    <w:rPr>
                      <w:rFonts w:hint="eastAsia" w:ascii="仿宋" w:hAnsi="仿宋" w:eastAsia="仿宋" w:cs="仿宋"/>
                      <w:sz w:val="21"/>
                      <w:szCs w:val="21"/>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BE308">
                  <w:pPr>
                    <w:spacing w:line="360" w:lineRule="auto"/>
                    <w:jc w:val="center"/>
                    <w:rPr>
                      <w:rFonts w:hint="eastAsia" w:ascii="仿宋" w:hAnsi="仿宋" w:eastAsia="仿宋" w:cs="仿宋"/>
                      <w:sz w:val="21"/>
                      <w:szCs w:val="21"/>
                    </w:rPr>
                  </w:pPr>
                </w:p>
              </w:tc>
              <w:tc>
                <w:tcPr>
                  <w:tcW w:w="5446" w:type="dxa"/>
                  <w:tcBorders>
                    <w:top w:val="single" w:color="000000" w:sz="4" w:space="0"/>
                    <w:left w:val="nil"/>
                    <w:bottom w:val="nil"/>
                    <w:right w:val="single" w:color="000000" w:sz="4" w:space="0"/>
                  </w:tcBorders>
                  <w:shd w:val="clear" w:color="auto" w:fill="auto"/>
                  <w:tcMar>
                    <w:top w:w="0" w:type="dxa"/>
                    <w:left w:w="105" w:type="dxa"/>
                    <w:bottom w:w="0" w:type="dxa"/>
                    <w:right w:w="105" w:type="dxa"/>
                  </w:tcMar>
                  <w:vAlign w:val="center"/>
                </w:tcPr>
                <w:p w14:paraId="25E995AD">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人员无留长指甲，指甲无污垢，无</w:t>
                  </w:r>
                  <w:r>
                    <w:rPr>
                      <w:rFonts w:hint="eastAsia" w:ascii="仿宋" w:hAnsi="仿宋" w:eastAsia="仿宋" w:cs="仿宋"/>
                      <w:sz w:val="21"/>
                      <w:szCs w:val="21"/>
                    </w:rPr>
                    <w:t>戴</w:t>
                  </w:r>
                  <w:r>
                    <w:rPr>
                      <w:rFonts w:hint="eastAsia" w:ascii="仿宋" w:hAnsi="仿宋" w:eastAsia="仿宋" w:cs="仿宋"/>
                      <w:color w:val="000000"/>
                      <w:sz w:val="21"/>
                      <w:szCs w:val="21"/>
                    </w:rPr>
                    <w:t>首饰</w:t>
                  </w:r>
                </w:p>
              </w:tc>
            </w:tr>
            <w:tr w14:paraId="240DAA90">
              <w:tblPrEx>
                <w:tblCellMar>
                  <w:top w:w="0" w:type="dxa"/>
                  <w:left w:w="108" w:type="dxa"/>
                  <w:bottom w:w="0" w:type="dxa"/>
                  <w:right w:w="108" w:type="dxa"/>
                </w:tblCellMar>
              </w:tblPrEx>
              <w:tc>
                <w:tcPr>
                  <w:tcW w:w="548" w:type="dxa"/>
                  <w:tcBorders>
                    <w:top w:val="single" w:color="000000" w:sz="4" w:space="0"/>
                    <w:left w:val="single" w:color="000000" w:sz="4" w:space="0"/>
                    <w:bottom w:val="single" w:color="000000" w:sz="4" w:space="0"/>
                    <w:right w:val="nil"/>
                  </w:tcBorders>
                  <w:shd w:val="clear" w:color="auto" w:fill="auto"/>
                  <w:tcMar>
                    <w:top w:w="0" w:type="dxa"/>
                    <w:left w:w="105" w:type="dxa"/>
                    <w:bottom w:w="0" w:type="dxa"/>
                    <w:right w:w="105" w:type="dxa"/>
                  </w:tcMar>
                  <w:vAlign w:val="center"/>
                </w:tcPr>
                <w:p w14:paraId="51ED6031">
                  <w:pPr>
                    <w:pStyle w:val="8"/>
                    <w:spacing w:line="360" w:lineRule="auto"/>
                    <w:jc w:val="center"/>
                    <w:rPr>
                      <w:rFonts w:hint="eastAsia" w:ascii="仿宋" w:hAnsi="仿宋" w:eastAsia="仿宋" w:cs="仿宋"/>
                      <w:sz w:val="21"/>
                      <w:szCs w:val="21"/>
                      <w:lang w:val="en-US" w:eastAsia="zh-CN"/>
                    </w:rPr>
                  </w:pPr>
                  <w:r>
                    <w:rPr>
                      <w:rFonts w:hint="eastAsia" w:ascii="仿宋" w:hAnsi="仿宋" w:eastAsia="仿宋" w:cs="仿宋"/>
                      <w:color w:val="000000"/>
                      <w:sz w:val="21"/>
                      <w:szCs w:val="21"/>
                    </w:rPr>
                    <w:t>6</w:t>
                  </w:r>
                  <w:r>
                    <w:rPr>
                      <w:rFonts w:hint="eastAsia" w:ascii="仿宋" w:hAnsi="仿宋" w:eastAsia="仿宋" w:cs="仿宋"/>
                      <w:color w:val="000000"/>
                      <w:sz w:val="21"/>
                      <w:szCs w:val="21"/>
                      <w:lang w:val="en-US" w:eastAsia="zh-CN"/>
                    </w:rPr>
                    <w:t>2</w:t>
                  </w:r>
                </w:p>
              </w:tc>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33FAD9DD">
                  <w:pPr>
                    <w:spacing w:line="360" w:lineRule="auto"/>
                    <w:jc w:val="center"/>
                    <w:rPr>
                      <w:rFonts w:hint="eastAsia" w:ascii="仿宋" w:hAnsi="仿宋" w:eastAsia="仿宋" w:cs="仿宋"/>
                      <w:sz w:val="21"/>
                      <w:szCs w:val="21"/>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5C698">
                  <w:pPr>
                    <w:spacing w:line="360" w:lineRule="auto"/>
                    <w:jc w:val="center"/>
                    <w:rPr>
                      <w:rFonts w:hint="eastAsia" w:ascii="仿宋" w:hAnsi="仿宋" w:eastAsia="仿宋" w:cs="仿宋"/>
                      <w:sz w:val="21"/>
                      <w:szCs w:val="21"/>
                    </w:rPr>
                  </w:pPr>
                </w:p>
              </w:tc>
              <w:tc>
                <w:tcPr>
                  <w:tcW w:w="5446" w:type="dxa"/>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A1AAD7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人员进入专间必须戴口罩、手套</w:t>
                  </w:r>
                </w:p>
              </w:tc>
            </w:tr>
          </w:tbl>
          <w:p w14:paraId="17E90116">
            <w:pPr>
              <w:jc w:val="both"/>
              <w:rPr>
                <w:rFonts w:hint="eastAsia" w:ascii="黑体" w:hAnsi="黑体" w:eastAsia="黑体" w:cs="黑体"/>
                <w:b/>
                <w:bCs/>
                <w:color w:val="C00000"/>
                <w:sz w:val="28"/>
                <w:szCs w:val="28"/>
                <w:highlight w:val="none"/>
                <w:lang w:val="en-US" w:eastAsia="zh-CN"/>
              </w:rPr>
            </w:pPr>
          </w:p>
        </w:tc>
      </w:tr>
      <w:tr w14:paraId="54656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2F109338">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7.8</w:t>
            </w:r>
          </w:p>
        </w:tc>
        <w:tc>
          <w:tcPr>
            <w:tcW w:w="7484" w:type="dxa"/>
            <w:tcBorders>
              <w:top w:val="nil"/>
              <w:left w:val="nil"/>
              <w:bottom w:val="nil"/>
              <w:right w:val="nil"/>
            </w:tcBorders>
            <w:vAlign w:val="center"/>
          </w:tcPr>
          <w:p w14:paraId="413B1D90">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rPr>
              <w:t>应急保障能力</w:t>
            </w:r>
          </w:p>
        </w:tc>
      </w:tr>
      <w:tr w14:paraId="7CBFBA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F802AC4">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7.8.1</w:t>
            </w:r>
          </w:p>
        </w:tc>
        <w:tc>
          <w:tcPr>
            <w:tcW w:w="7484" w:type="dxa"/>
            <w:tcBorders>
              <w:top w:val="nil"/>
              <w:left w:val="nil"/>
              <w:bottom w:val="nil"/>
              <w:right w:val="nil"/>
            </w:tcBorders>
            <w:vAlign w:val="center"/>
          </w:tcPr>
          <w:p w14:paraId="3992AE66">
            <w:pPr>
              <w:pStyle w:val="8"/>
              <w:spacing w:line="360" w:lineRule="auto"/>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lang w:val="en-US" w:eastAsia="zh-CN"/>
              </w:rPr>
              <w:t>供应商</w:t>
            </w:r>
            <w:r>
              <w:rPr>
                <w:rFonts w:hint="eastAsia" w:ascii="仿宋" w:hAnsi="仿宋" w:eastAsia="仿宋" w:cs="仿宋"/>
                <w:b w:val="0"/>
                <w:bCs w:val="0"/>
                <w:color w:val="auto"/>
                <w:sz w:val="24"/>
                <w:szCs w:val="24"/>
              </w:rPr>
              <w:t>具有突发性应急保障能力（包括食物中毒、原材料无法及时到达厨房、临时增加就餐人员、突然停电、停水等），对本项目的突发性应急保障响应时间在30分钟（含）以内。在处理采购人区域内特殊事件和紧急、突发事件等应急任务时，</w:t>
            </w:r>
            <w:r>
              <w:rPr>
                <w:rFonts w:hint="eastAsia" w:ascii="仿宋" w:hAnsi="仿宋" w:eastAsia="仿宋" w:cs="仿宋"/>
                <w:b w:val="0"/>
                <w:bCs w:val="0"/>
                <w:color w:val="auto"/>
                <w:sz w:val="24"/>
                <w:szCs w:val="24"/>
                <w:lang w:eastAsia="zh-CN"/>
              </w:rPr>
              <w:t>成交供应商</w:t>
            </w:r>
            <w:r>
              <w:rPr>
                <w:rFonts w:hint="eastAsia" w:ascii="仿宋" w:hAnsi="仿宋" w:eastAsia="仿宋" w:cs="仿宋"/>
                <w:b w:val="0"/>
                <w:bCs w:val="0"/>
                <w:color w:val="auto"/>
                <w:sz w:val="24"/>
                <w:szCs w:val="24"/>
              </w:rPr>
              <w:t>的人员须服从采购人的统一指挥。</w:t>
            </w:r>
          </w:p>
        </w:tc>
      </w:tr>
      <w:tr w14:paraId="4BCE0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0" w:type="dxa"/>
            <w:tcBorders>
              <w:top w:val="nil"/>
              <w:left w:val="nil"/>
              <w:bottom w:val="nil"/>
              <w:right w:val="nil"/>
            </w:tcBorders>
            <w:vAlign w:val="top"/>
          </w:tcPr>
          <w:p w14:paraId="129D2963">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7.8.2</w:t>
            </w:r>
          </w:p>
        </w:tc>
        <w:tc>
          <w:tcPr>
            <w:tcW w:w="7484" w:type="dxa"/>
            <w:tcBorders>
              <w:top w:val="nil"/>
              <w:left w:val="nil"/>
              <w:bottom w:val="nil"/>
              <w:right w:val="nil"/>
            </w:tcBorders>
            <w:vAlign w:val="center"/>
          </w:tcPr>
          <w:p w14:paraId="3565716B">
            <w:pPr>
              <w:pStyle w:val="8"/>
              <w:spacing w:line="360" w:lineRule="auto"/>
              <w:jc w:val="left"/>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供应商承诺，在服务期间，按采购人要求提供加班服务，有关费用已包含在总报价内。</w:t>
            </w:r>
          </w:p>
        </w:tc>
      </w:tr>
      <w:tr w14:paraId="421068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3658F105">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7.9</w:t>
            </w:r>
          </w:p>
        </w:tc>
        <w:tc>
          <w:tcPr>
            <w:tcW w:w="7484" w:type="dxa"/>
            <w:tcBorders>
              <w:top w:val="nil"/>
              <w:left w:val="nil"/>
              <w:bottom w:val="nil"/>
              <w:right w:val="nil"/>
            </w:tcBorders>
            <w:vAlign w:val="center"/>
          </w:tcPr>
          <w:p w14:paraId="7E481C14">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其他要求</w:t>
            </w:r>
          </w:p>
        </w:tc>
      </w:tr>
      <w:tr w14:paraId="19E7E3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2E22E26C">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7.9.1</w:t>
            </w:r>
          </w:p>
        </w:tc>
        <w:tc>
          <w:tcPr>
            <w:tcW w:w="7484" w:type="dxa"/>
            <w:tcBorders>
              <w:top w:val="nil"/>
              <w:left w:val="nil"/>
              <w:bottom w:val="nil"/>
              <w:right w:val="nil"/>
            </w:tcBorders>
            <w:vAlign w:val="center"/>
          </w:tcPr>
          <w:p w14:paraId="502CC830">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★成交供应商应建立基本的管理制度，包括但不限于厨房纪律、厨房出品制度、清洁卫生制度、员工考勤休假制度、食堂设施设备使用维护制度、技术业务考核制度、厨房会议制度、厨房日常工作检查制度等。</w:t>
            </w:r>
            <w:r>
              <w:rPr>
                <w:rFonts w:hint="eastAsia" w:ascii="仿宋" w:hAnsi="仿宋" w:eastAsia="仿宋" w:cs="仿宋"/>
                <w:b/>
                <w:bCs/>
                <w:color w:val="auto"/>
                <w:sz w:val="24"/>
                <w:szCs w:val="24"/>
                <w:highlight w:val="none"/>
                <w:lang w:val="en-US" w:eastAsia="zh-CN"/>
              </w:rPr>
              <w:t>（提供承诺函，格式自拟）</w:t>
            </w:r>
          </w:p>
        </w:tc>
      </w:tr>
      <w:tr w14:paraId="3C79B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6A3B06B">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7.9.2</w:t>
            </w:r>
          </w:p>
        </w:tc>
        <w:tc>
          <w:tcPr>
            <w:tcW w:w="7484" w:type="dxa"/>
            <w:tcBorders>
              <w:top w:val="nil"/>
              <w:left w:val="nil"/>
              <w:bottom w:val="nil"/>
              <w:right w:val="nil"/>
            </w:tcBorders>
            <w:vAlign w:val="center"/>
          </w:tcPr>
          <w:p w14:paraId="411AEF89">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成交供应商不得将食堂私自转让或委托他人服务，更不能利用采购人资产搞不法经营。一经发现采购人有权单方面无条件终止合同，并给予经济处罚或诉诸法律。</w:t>
            </w:r>
          </w:p>
        </w:tc>
      </w:tr>
      <w:tr w14:paraId="61064F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EC09D4F">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7.9.3</w:t>
            </w:r>
          </w:p>
        </w:tc>
        <w:tc>
          <w:tcPr>
            <w:tcW w:w="7484" w:type="dxa"/>
            <w:tcBorders>
              <w:top w:val="nil"/>
              <w:left w:val="nil"/>
              <w:bottom w:val="nil"/>
              <w:right w:val="nil"/>
            </w:tcBorders>
            <w:vAlign w:val="center"/>
          </w:tcPr>
          <w:p w14:paraId="3AC53EE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对于采购人临时增加就餐人员的，在食材供应充足的前提下，成交供应商应无条件进行膳食加工制作，满足增加人员的就餐需求。</w:t>
            </w:r>
          </w:p>
        </w:tc>
      </w:tr>
      <w:tr w14:paraId="4EE68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2DFF895E">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7.9.4</w:t>
            </w:r>
          </w:p>
        </w:tc>
        <w:tc>
          <w:tcPr>
            <w:tcW w:w="7484" w:type="dxa"/>
            <w:tcBorders>
              <w:top w:val="nil"/>
              <w:left w:val="nil"/>
              <w:bottom w:val="nil"/>
              <w:right w:val="nil"/>
            </w:tcBorders>
            <w:vAlign w:val="center"/>
          </w:tcPr>
          <w:p w14:paraId="3987C64C">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食堂日常所需消耗品（如消毒水、洗洁精、纸巾、牙签等）由采购人负责购置，相关费用由采购人负责。</w:t>
            </w:r>
          </w:p>
        </w:tc>
      </w:tr>
      <w:tr w14:paraId="3BE05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7FB8C09">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7.9.5</w:t>
            </w:r>
          </w:p>
        </w:tc>
        <w:tc>
          <w:tcPr>
            <w:tcW w:w="7484" w:type="dxa"/>
            <w:tcBorders>
              <w:top w:val="nil"/>
              <w:left w:val="nil"/>
              <w:bottom w:val="nil"/>
              <w:right w:val="nil"/>
            </w:tcBorders>
            <w:vAlign w:val="center"/>
          </w:tcPr>
          <w:p w14:paraId="00708817">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采购人提供成交供应商共用办公室，不提供住宿场所，住宿由成交供应商自行解决。</w:t>
            </w:r>
          </w:p>
        </w:tc>
      </w:tr>
      <w:tr w14:paraId="7BE63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26FB6B9E">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7.9.6</w:t>
            </w:r>
          </w:p>
        </w:tc>
        <w:tc>
          <w:tcPr>
            <w:tcW w:w="7484" w:type="dxa"/>
            <w:tcBorders>
              <w:top w:val="nil"/>
              <w:left w:val="nil"/>
              <w:bottom w:val="nil"/>
              <w:right w:val="nil"/>
            </w:tcBorders>
            <w:vAlign w:val="center"/>
          </w:tcPr>
          <w:p w14:paraId="10B8D310">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若合同执行期间因成交供应商原因，发生卫生、安全事故，造成人员伤害或财产损失的，则采购人有权在合同执行期间以成交供应商无法履约为由终止合同执行，因此而产生的损失及违约责任由成交供应商承担。</w:t>
            </w:r>
          </w:p>
        </w:tc>
      </w:tr>
      <w:tr w14:paraId="19D09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659FA64">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7.9.7</w:t>
            </w:r>
          </w:p>
        </w:tc>
        <w:tc>
          <w:tcPr>
            <w:tcW w:w="7484" w:type="dxa"/>
            <w:tcBorders>
              <w:top w:val="nil"/>
              <w:left w:val="nil"/>
              <w:bottom w:val="nil"/>
              <w:right w:val="nil"/>
            </w:tcBorders>
            <w:vAlign w:val="center"/>
          </w:tcPr>
          <w:p w14:paraId="36F97F23">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如遇到国家或地方有关假日或专项突击性检查、参观等，成交供应商应及时做好相应的工作，并接受检查。</w:t>
            </w:r>
          </w:p>
        </w:tc>
      </w:tr>
      <w:tr w14:paraId="61DF2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3172DB0E">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7.9.8</w:t>
            </w:r>
          </w:p>
        </w:tc>
        <w:tc>
          <w:tcPr>
            <w:tcW w:w="7484" w:type="dxa"/>
            <w:tcBorders>
              <w:top w:val="nil"/>
              <w:left w:val="nil"/>
              <w:bottom w:val="nil"/>
              <w:right w:val="nil"/>
            </w:tcBorders>
            <w:vAlign w:val="center"/>
          </w:tcPr>
          <w:p w14:paraId="38CC7C41">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成交供应商在服务期内的有关工作台账、管理资料要根据采购人的要求填报，每月应要求按时送交采购人存档。</w:t>
            </w:r>
          </w:p>
        </w:tc>
      </w:tr>
      <w:tr w14:paraId="3C1E94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5C132C0D">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7.9.9</w:t>
            </w:r>
          </w:p>
        </w:tc>
        <w:tc>
          <w:tcPr>
            <w:tcW w:w="7484" w:type="dxa"/>
            <w:tcBorders>
              <w:top w:val="nil"/>
              <w:left w:val="nil"/>
              <w:bottom w:val="nil"/>
              <w:right w:val="nil"/>
            </w:tcBorders>
            <w:vAlign w:val="center"/>
          </w:tcPr>
          <w:p w14:paraId="4755E32E">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由于成交供应商员工工作失职，造成其所管食材、物业财产损失或失窃的，成交供应商应承担全部赔偿和相关责任。</w:t>
            </w:r>
          </w:p>
        </w:tc>
      </w:tr>
      <w:tr w14:paraId="67ECD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2B1D75CD">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7.9.10</w:t>
            </w:r>
          </w:p>
        </w:tc>
        <w:tc>
          <w:tcPr>
            <w:tcW w:w="7484" w:type="dxa"/>
            <w:tcBorders>
              <w:top w:val="nil"/>
              <w:left w:val="nil"/>
              <w:bottom w:val="nil"/>
              <w:right w:val="nil"/>
            </w:tcBorders>
            <w:vAlign w:val="center"/>
          </w:tcPr>
          <w:p w14:paraId="17993056">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如有人员来访，按采购人要求填写访客单并经采购人审核后方可进入采购人区域。未经采购人审核同意，成交供应商私自带人进入采购人区域的，采购人有权单方面无条件终止合同。造成采购人财产损失或影响采购人办公训练的，采购人有权追究成交供应商经济赔偿责任或法律责任。</w:t>
            </w:r>
            <w:r>
              <w:rPr>
                <w:rFonts w:hint="eastAsia" w:ascii="仿宋" w:hAnsi="仿宋" w:eastAsia="仿宋" w:cs="仿宋"/>
                <w:b/>
                <w:bCs/>
                <w:color w:val="auto"/>
                <w:sz w:val="24"/>
                <w:szCs w:val="24"/>
                <w:highlight w:val="none"/>
                <w:lang w:val="en-US" w:eastAsia="zh-CN"/>
              </w:rPr>
              <w:t>（提供承诺函，格式自拟）</w:t>
            </w:r>
          </w:p>
        </w:tc>
      </w:tr>
      <w:tr w14:paraId="3E6D05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360D7329">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7.9.11</w:t>
            </w:r>
          </w:p>
        </w:tc>
        <w:tc>
          <w:tcPr>
            <w:tcW w:w="7484" w:type="dxa"/>
            <w:tcBorders>
              <w:top w:val="nil"/>
              <w:left w:val="nil"/>
              <w:bottom w:val="nil"/>
              <w:right w:val="nil"/>
            </w:tcBorders>
            <w:vAlign w:val="center"/>
          </w:tcPr>
          <w:p w14:paraId="74CDF4B5">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服务期满后，成交供应商须与采购人做好交接工作。</w:t>
            </w:r>
          </w:p>
        </w:tc>
      </w:tr>
      <w:tr w14:paraId="20FD55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3BB93A9">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7.9.12</w:t>
            </w:r>
          </w:p>
        </w:tc>
        <w:tc>
          <w:tcPr>
            <w:tcW w:w="7484" w:type="dxa"/>
            <w:tcBorders>
              <w:top w:val="nil"/>
              <w:left w:val="nil"/>
              <w:bottom w:val="nil"/>
              <w:right w:val="nil"/>
            </w:tcBorders>
            <w:vAlign w:val="center"/>
          </w:tcPr>
          <w:p w14:paraId="0B834A6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供应商须承诺成交后项目实施过程中严格遵守《中华人民共和国食品安全法》、《中华人民共和国食品安全法实施条例》、《食品经营许可和备案管理办法》,符合食品经营许可的有关管理规定并按规定办理相关手续，否则将终止合同，由此引发的一切后果由成交供应商承担。</w:t>
            </w:r>
            <w:r>
              <w:rPr>
                <w:rFonts w:hint="eastAsia" w:ascii="仿宋" w:hAnsi="仿宋" w:eastAsia="仿宋" w:cs="仿宋"/>
                <w:b/>
                <w:bCs/>
                <w:color w:val="auto"/>
                <w:sz w:val="24"/>
                <w:szCs w:val="24"/>
                <w:highlight w:val="none"/>
                <w:lang w:val="en-US" w:eastAsia="zh-CN"/>
              </w:rPr>
              <w:t>（提供承诺函，格式自拟）</w:t>
            </w:r>
          </w:p>
        </w:tc>
      </w:tr>
      <w:tr w14:paraId="187AF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050D88B0">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7.9.13</w:t>
            </w:r>
          </w:p>
        </w:tc>
        <w:tc>
          <w:tcPr>
            <w:tcW w:w="7484" w:type="dxa"/>
            <w:tcBorders>
              <w:top w:val="nil"/>
              <w:left w:val="nil"/>
              <w:bottom w:val="nil"/>
              <w:right w:val="nil"/>
            </w:tcBorders>
            <w:vAlign w:val="center"/>
          </w:tcPr>
          <w:p w14:paraId="06760704">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签订合同22个工作日内，成交供应商为采购人（即以采购人为受益人）购买“食品安全责任保险”（保险金额：每年累计赔偿金额限额不低于500万元），手续办理和费用交纳均由成交供应商自行负责。</w:t>
            </w:r>
            <w:r>
              <w:rPr>
                <w:rFonts w:hint="eastAsia" w:ascii="仿宋" w:hAnsi="仿宋" w:eastAsia="仿宋" w:cs="仿宋"/>
                <w:color w:val="auto"/>
                <w:sz w:val="24"/>
                <w:highlight w:val="none"/>
                <w:lang w:eastAsia="zh-CN"/>
              </w:rPr>
              <w:t>成交供应商</w:t>
            </w:r>
            <w:r>
              <w:rPr>
                <w:rFonts w:hint="eastAsia" w:ascii="仿宋" w:hAnsi="仿宋" w:eastAsia="仿宋" w:cs="仿宋"/>
                <w:color w:val="auto"/>
                <w:sz w:val="24"/>
                <w:highlight w:val="none"/>
              </w:rPr>
              <w:t>自行购买的食品安全责任险或其他同类商业保险中，如保险受益范围已涵盖采购人利益且保险金额已达到</w:t>
            </w:r>
            <w:r>
              <w:rPr>
                <w:rFonts w:hint="eastAsia" w:ascii="仿宋" w:hAnsi="仿宋" w:eastAsia="仿宋" w:cs="仿宋"/>
                <w:color w:val="auto"/>
                <w:sz w:val="24"/>
                <w:highlight w:val="none"/>
                <w:lang w:val="en-US" w:eastAsia="zh-CN"/>
              </w:rPr>
              <w:t>前述</w:t>
            </w:r>
            <w:r>
              <w:rPr>
                <w:rFonts w:hint="eastAsia" w:ascii="仿宋" w:hAnsi="仿宋" w:eastAsia="仿宋" w:cs="仿宋"/>
                <w:color w:val="auto"/>
                <w:sz w:val="24"/>
                <w:highlight w:val="none"/>
              </w:rPr>
              <w:t>约定标准的，</w:t>
            </w:r>
            <w:r>
              <w:rPr>
                <w:rFonts w:hint="eastAsia" w:ascii="仿宋" w:hAnsi="仿宋" w:eastAsia="仿宋" w:cs="仿宋"/>
                <w:color w:val="auto"/>
                <w:sz w:val="24"/>
                <w:highlight w:val="none"/>
                <w:lang w:eastAsia="zh-CN"/>
              </w:rPr>
              <w:t>成交供应商</w:t>
            </w:r>
            <w:r>
              <w:rPr>
                <w:rFonts w:hint="eastAsia" w:ascii="仿宋" w:hAnsi="仿宋" w:eastAsia="仿宋" w:cs="仿宋"/>
                <w:color w:val="auto"/>
                <w:sz w:val="24"/>
                <w:highlight w:val="none"/>
              </w:rPr>
              <w:t>可凭有效保单凭证及保险条款向采购人申请认定，经采购人书面确认后，视为已满足</w:t>
            </w:r>
            <w:r>
              <w:rPr>
                <w:rFonts w:hint="eastAsia" w:ascii="仿宋" w:hAnsi="仿宋" w:eastAsia="仿宋" w:cs="仿宋"/>
                <w:color w:val="auto"/>
                <w:sz w:val="24"/>
                <w:highlight w:val="none"/>
                <w:lang w:val="en-US" w:eastAsia="zh-CN"/>
              </w:rPr>
              <w:t>此项</w:t>
            </w:r>
            <w:r>
              <w:rPr>
                <w:rFonts w:hint="eastAsia" w:ascii="仿宋" w:hAnsi="仿宋" w:eastAsia="仿宋" w:cs="仿宋"/>
                <w:color w:val="auto"/>
                <w:sz w:val="24"/>
                <w:highlight w:val="none"/>
              </w:rPr>
              <w:t>要求，无需重复投保。</w:t>
            </w:r>
          </w:p>
        </w:tc>
      </w:tr>
      <w:tr w14:paraId="57CB03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5AFBA7C0">
            <w:pPr>
              <w:jc w:val="both"/>
              <w:rPr>
                <w:rFonts w:hint="default"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8.</w:t>
            </w:r>
          </w:p>
        </w:tc>
        <w:tc>
          <w:tcPr>
            <w:tcW w:w="7484" w:type="dxa"/>
            <w:tcBorders>
              <w:top w:val="nil"/>
              <w:left w:val="nil"/>
              <w:bottom w:val="nil"/>
              <w:right w:val="nil"/>
            </w:tcBorders>
            <w:vAlign w:val="center"/>
          </w:tcPr>
          <w:p w14:paraId="2B4ED7EE">
            <w:pPr>
              <w:pStyle w:val="8"/>
              <w:jc w:val="left"/>
              <w:rPr>
                <w:rFonts w:hint="default" w:ascii="黑体" w:hAnsi="黑体" w:eastAsia="黑体" w:cs="黑体"/>
                <w:b/>
                <w:bCs/>
                <w:color w:val="auto"/>
                <w:sz w:val="28"/>
                <w:szCs w:val="28"/>
                <w:highlight w:val="none"/>
                <w:lang w:val="en-US" w:eastAsia="zh-CN"/>
              </w:rPr>
            </w:pPr>
            <w:r>
              <w:rPr>
                <w:rFonts w:hint="eastAsia" w:ascii="黑体" w:hAnsi="黑体" w:eastAsia="黑体" w:cs="黑体"/>
                <w:b/>
                <w:bCs/>
                <w:color w:val="auto"/>
                <w:sz w:val="28"/>
                <w:szCs w:val="28"/>
                <w:highlight w:val="none"/>
                <w:lang w:val="en-US" w:eastAsia="zh-CN"/>
              </w:rPr>
              <w:t>商务要求</w:t>
            </w:r>
          </w:p>
        </w:tc>
      </w:tr>
      <w:tr w14:paraId="2917B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320C7B8">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8.1</w:t>
            </w:r>
          </w:p>
        </w:tc>
        <w:tc>
          <w:tcPr>
            <w:tcW w:w="7484" w:type="dxa"/>
            <w:tcBorders>
              <w:top w:val="nil"/>
              <w:left w:val="nil"/>
              <w:bottom w:val="nil"/>
              <w:right w:val="nil"/>
            </w:tcBorders>
            <w:vAlign w:val="center"/>
          </w:tcPr>
          <w:p w14:paraId="36E3A4D5">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服务时间：24个月（合同签订之日起计算），合同一年一签。第一年履约服务考核不合格（服务期内，连续两次或累积三次月度考核得分低于75的）的，将不予续签第二年合同。</w:t>
            </w:r>
          </w:p>
        </w:tc>
      </w:tr>
      <w:tr w14:paraId="14129D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B666264">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8.2</w:t>
            </w:r>
          </w:p>
        </w:tc>
        <w:tc>
          <w:tcPr>
            <w:tcW w:w="7484" w:type="dxa"/>
            <w:tcBorders>
              <w:top w:val="nil"/>
              <w:left w:val="nil"/>
              <w:bottom w:val="nil"/>
              <w:right w:val="nil"/>
            </w:tcBorders>
            <w:vAlign w:val="center"/>
          </w:tcPr>
          <w:p w14:paraId="2F98ED23">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服务地点：广东省广州市白云区钟落潭镇竹汉路22号广东省足球运动中心内。</w:t>
            </w:r>
          </w:p>
        </w:tc>
      </w:tr>
      <w:tr w14:paraId="771F5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5BC0536B">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8.3</w:t>
            </w:r>
          </w:p>
        </w:tc>
        <w:tc>
          <w:tcPr>
            <w:tcW w:w="7484" w:type="dxa"/>
            <w:tcBorders>
              <w:top w:val="nil"/>
              <w:left w:val="nil"/>
              <w:bottom w:val="nil"/>
              <w:right w:val="nil"/>
            </w:tcBorders>
            <w:vAlign w:val="center"/>
          </w:tcPr>
          <w:p w14:paraId="214B90CC">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报价要求</w:t>
            </w:r>
          </w:p>
        </w:tc>
      </w:tr>
      <w:tr w14:paraId="3A4BB5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BA63E5A">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8.3.1</w:t>
            </w:r>
          </w:p>
        </w:tc>
        <w:tc>
          <w:tcPr>
            <w:tcW w:w="7484" w:type="dxa"/>
            <w:tcBorders>
              <w:top w:val="nil"/>
              <w:left w:val="nil"/>
              <w:bottom w:val="nil"/>
              <w:right w:val="nil"/>
            </w:tcBorders>
            <w:vAlign w:val="center"/>
          </w:tcPr>
          <w:p w14:paraId="55402CB1">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报价包括本项目所有员工的工资、加班费、奖金、福利、医疗、社保和交通、住宿、高温补贴、保险、体检、办健康证、工伤、生病住院、意外伤害、人员个人工作服及耗材等所有费用。采购人不再向成交供应商支付其他任何费用。</w:t>
            </w:r>
          </w:p>
        </w:tc>
      </w:tr>
      <w:tr w14:paraId="21BB1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4B0C6051">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8.3</w:t>
            </w:r>
          </w:p>
        </w:tc>
        <w:tc>
          <w:tcPr>
            <w:tcW w:w="7484" w:type="dxa"/>
            <w:tcBorders>
              <w:top w:val="nil"/>
              <w:left w:val="nil"/>
              <w:bottom w:val="nil"/>
              <w:right w:val="nil"/>
            </w:tcBorders>
            <w:vAlign w:val="center"/>
          </w:tcPr>
          <w:p w14:paraId="4F95FE88">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付款方式</w:t>
            </w:r>
          </w:p>
        </w:tc>
      </w:tr>
      <w:tr w14:paraId="26833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A0CD76E">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8.3.1</w:t>
            </w:r>
          </w:p>
        </w:tc>
        <w:tc>
          <w:tcPr>
            <w:tcW w:w="7484" w:type="dxa"/>
            <w:tcBorders>
              <w:top w:val="nil"/>
              <w:left w:val="nil"/>
              <w:bottom w:val="nil"/>
              <w:right w:val="nil"/>
            </w:tcBorders>
            <w:vAlign w:val="center"/>
          </w:tcPr>
          <w:p w14:paraId="36A1A647">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费用由采购人按月支付。成交供应商在每月10日前向采购人报送上一月的服务报告、食堂服务费用支付申请，并开具正式等额发票，采购人在收到服务报告、支付申请和正式发票后，根据当月考核情况于10个工作日内办理支付手续。</w:t>
            </w:r>
          </w:p>
        </w:tc>
      </w:tr>
      <w:tr w14:paraId="6EAE3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0166DB3">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8.3.2</w:t>
            </w:r>
          </w:p>
        </w:tc>
        <w:tc>
          <w:tcPr>
            <w:tcW w:w="7484" w:type="dxa"/>
            <w:tcBorders>
              <w:top w:val="nil"/>
              <w:left w:val="nil"/>
              <w:bottom w:val="nil"/>
              <w:right w:val="nil"/>
            </w:tcBorders>
            <w:vAlign w:val="center"/>
          </w:tcPr>
          <w:p w14:paraId="101D32C5">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若遇采购人因法定节假日或单位统一安排休假导致服务暂停，服务费用按以下方式核算：当月应付服务费总额除以该月日历天数，计算出日均服务费标准，再根据实际暂停服务的天数进行相应扣减。</w:t>
            </w:r>
          </w:p>
        </w:tc>
      </w:tr>
      <w:tr w14:paraId="53F355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60DCB909">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8.3.3</w:t>
            </w:r>
          </w:p>
        </w:tc>
        <w:tc>
          <w:tcPr>
            <w:tcW w:w="7484" w:type="dxa"/>
            <w:tcBorders>
              <w:top w:val="nil"/>
              <w:left w:val="nil"/>
              <w:bottom w:val="nil"/>
              <w:right w:val="nil"/>
            </w:tcBorders>
            <w:vAlign w:val="center"/>
          </w:tcPr>
          <w:p w14:paraId="5567E3F2">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因采购人使用的是财政资金，采购人在前款规定的付款时间为向政府采购支付部门提出办理财政支付申请手续的时间（不含政府财政支付部门审核的时间、不包括年初政府财政资金用款额度未下达时间），在规定时间内提出支付申请手续后即视为采购人已经按期支付。</w:t>
            </w:r>
          </w:p>
        </w:tc>
      </w:tr>
      <w:tr w14:paraId="0574A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622C472C">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8.4</w:t>
            </w:r>
          </w:p>
        </w:tc>
        <w:tc>
          <w:tcPr>
            <w:tcW w:w="7484" w:type="dxa"/>
            <w:tcBorders>
              <w:top w:val="nil"/>
              <w:left w:val="nil"/>
              <w:bottom w:val="nil"/>
              <w:right w:val="nil"/>
            </w:tcBorders>
            <w:vAlign w:val="center"/>
          </w:tcPr>
          <w:p w14:paraId="459EE970">
            <w:pPr>
              <w:spacing w:line="360" w:lineRule="auto"/>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验收要求</w:t>
            </w:r>
          </w:p>
        </w:tc>
      </w:tr>
      <w:tr w14:paraId="2494C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D464867">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8.4.1</w:t>
            </w:r>
          </w:p>
        </w:tc>
        <w:tc>
          <w:tcPr>
            <w:tcW w:w="7484" w:type="dxa"/>
            <w:tcBorders>
              <w:top w:val="nil"/>
              <w:left w:val="nil"/>
              <w:bottom w:val="nil"/>
              <w:right w:val="nil"/>
            </w:tcBorders>
            <w:vAlign w:val="center"/>
          </w:tcPr>
          <w:p w14:paraId="270862AD">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合同期内，采购人每月对成交供应商的服务进行月度考核评分，按考核表（详见下列考核表）进行考核，满分100分，该月内，考核表中所列行为每发生一次扣分一次，75分以下（不含75分）为不合格。</w:t>
            </w:r>
          </w:p>
        </w:tc>
      </w:tr>
      <w:tr w14:paraId="0BD29C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338469F">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8.4.2</w:t>
            </w:r>
          </w:p>
        </w:tc>
        <w:tc>
          <w:tcPr>
            <w:tcW w:w="7484" w:type="dxa"/>
            <w:tcBorders>
              <w:top w:val="nil"/>
              <w:left w:val="nil"/>
              <w:bottom w:val="nil"/>
              <w:right w:val="nil"/>
            </w:tcBorders>
            <w:vAlign w:val="center"/>
          </w:tcPr>
          <w:p w14:paraId="0591B9A8">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在月度考核中出现扣分事项且低于90分的，成交供应商须在15个工作日内对存在的问题进行整改并将整改结果书面报采购人。</w:t>
            </w:r>
          </w:p>
        </w:tc>
      </w:tr>
      <w:tr w14:paraId="2F52C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062B3C27">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8.4.3</w:t>
            </w:r>
          </w:p>
        </w:tc>
        <w:tc>
          <w:tcPr>
            <w:tcW w:w="7484" w:type="dxa"/>
            <w:tcBorders>
              <w:top w:val="nil"/>
              <w:left w:val="nil"/>
              <w:bottom w:val="nil"/>
              <w:right w:val="nil"/>
            </w:tcBorders>
            <w:vAlign w:val="center"/>
          </w:tcPr>
          <w:p w14:paraId="276474DD">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合同期内出现由成交供应商负责的重大责任事故的、政府职能部门检查采购人食堂不合格或使采购人受到行政处罚的，采购人有权追究成交供应商的直接或间接经济和法律责任。</w:t>
            </w:r>
          </w:p>
        </w:tc>
      </w:tr>
      <w:tr w14:paraId="4C006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067219B8">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8.4.4</w:t>
            </w:r>
          </w:p>
        </w:tc>
        <w:tc>
          <w:tcPr>
            <w:tcW w:w="7484" w:type="dxa"/>
            <w:tcBorders>
              <w:top w:val="nil"/>
              <w:left w:val="nil"/>
              <w:bottom w:val="nil"/>
              <w:right w:val="nil"/>
            </w:tcBorders>
            <w:vAlign w:val="center"/>
          </w:tcPr>
          <w:p w14:paraId="773A297C">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分值档次：</w:t>
            </w:r>
          </w:p>
          <w:p w14:paraId="7F6C521F">
            <w:p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第一档：最后得分90-100，全额结算支付当月食堂服务费；</w:t>
            </w:r>
          </w:p>
          <w:p w14:paraId="0DBB734B">
            <w:p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第二档：最后得分75-89，暂扣当月食堂服务费10%，在规定时间内整改到位，下月发还暂扣款；</w:t>
            </w:r>
          </w:p>
          <w:p w14:paraId="375392D4">
            <w:p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第三档：最后得分低于75，暂扣当月食堂服务费30%，在规定时间内整改到位，下月发还暂扣当月食堂服务费20%，余下10%不予支付。</w:t>
            </w:r>
          </w:p>
        </w:tc>
      </w:tr>
      <w:tr w14:paraId="0B0CF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615F561">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8.4.5</w:t>
            </w:r>
          </w:p>
        </w:tc>
        <w:tc>
          <w:tcPr>
            <w:tcW w:w="7484" w:type="dxa"/>
            <w:tcBorders>
              <w:top w:val="nil"/>
              <w:left w:val="nil"/>
              <w:bottom w:val="nil"/>
              <w:right w:val="nil"/>
            </w:tcBorders>
            <w:vAlign w:val="center"/>
          </w:tcPr>
          <w:p w14:paraId="0A0D34A3">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合同终止：</w:t>
            </w:r>
          </w:p>
          <w:p w14:paraId="5F527082">
            <w:p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合同期内，出现以下情况之一的，采购人有权单方面无条件终止合同，重新组织采购，同时上报给相关监管部门，将成交供应商纳入政府采购严重违法失信行为：</w:t>
            </w:r>
          </w:p>
          <w:p w14:paraId="123558E8">
            <w:pPr>
              <w:numPr>
                <w:ilvl w:val="0"/>
                <w:numId w:val="3"/>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连续两次或累积三次月度考核得分低于75的；</w:t>
            </w:r>
          </w:p>
          <w:p w14:paraId="2E9AB9AB">
            <w:pPr>
              <w:numPr>
                <w:ilvl w:val="0"/>
                <w:numId w:val="3"/>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出现重大责任事故的，包括但不限于：①食物中毒重大事故和安全生产事故；②其他事故造成人员伤亡的；③使用运动员禁止食用的食物（材）或使用转基因食材；④1人及以上缺岗超过7天；</w:t>
            </w:r>
          </w:p>
          <w:p w14:paraId="14657056">
            <w:pPr>
              <w:numPr>
                <w:ilvl w:val="0"/>
                <w:numId w:val="3"/>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政府职能部门检查采购人食堂不合格或使采购人受到行政处罚；</w:t>
            </w:r>
          </w:p>
          <w:p w14:paraId="22FF51F9">
            <w:pPr>
              <w:numPr>
                <w:ilvl w:val="0"/>
                <w:numId w:val="3"/>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未履行合同约定或违反合同约定的。</w:t>
            </w:r>
          </w:p>
        </w:tc>
      </w:tr>
      <w:tr w14:paraId="011974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41A06902">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8.4.6</w:t>
            </w:r>
          </w:p>
        </w:tc>
        <w:tc>
          <w:tcPr>
            <w:tcW w:w="7484" w:type="dxa"/>
            <w:tcBorders>
              <w:top w:val="nil"/>
              <w:left w:val="nil"/>
              <w:bottom w:val="nil"/>
              <w:right w:val="nil"/>
            </w:tcBorders>
            <w:vAlign w:val="center"/>
          </w:tcPr>
          <w:p w14:paraId="12402EA4">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考核表</w:t>
            </w:r>
          </w:p>
        </w:tc>
      </w:tr>
      <w:tr w14:paraId="01B4B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484" w:type="dxa"/>
            <w:gridSpan w:val="2"/>
            <w:tcBorders>
              <w:top w:val="nil"/>
              <w:left w:val="nil"/>
              <w:bottom w:val="nil"/>
              <w:right w:val="nil"/>
            </w:tcBorders>
            <w:vAlign w:val="center"/>
          </w:tcPr>
          <w:p w14:paraId="304563B1">
            <w:pPr>
              <w:jc w:val="both"/>
              <w:rPr>
                <w:rFonts w:hint="eastAsia" w:ascii="黑体" w:hAnsi="黑体" w:eastAsia="黑体" w:cs="黑体"/>
                <w:b/>
                <w:bCs/>
                <w:color w:val="C00000"/>
                <w:sz w:val="24"/>
                <w:szCs w:val="24"/>
                <w:highlight w:val="none"/>
                <w:lang w:val="en-US" w:eastAsia="zh-CN"/>
              </w:rPr>
            </w:pPr>
          </w:p>
          <w:tbl>
            <w:tblPr>
              <w:tblStyle w:val="4"/>
              <w:tblW w:w="8306"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610"/>
              <w:gridCol w:w="4640"/>
              <w:gridCol w:w="1208"/>
              <w:gridCol w:w="848"/>
            </w:tblGrid>
            <w:tr w14:paraId="1D5CA8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2865B96">
                  <w:pPr>
                    <w:pStyle w:val="8"/>
                    <w:spacing w:line="360" w:lineRule="auto"/>
                    <w:jc w:val="center"/>
                    <w:rPr>
                      <w:rFonts w:hint="eastAsia" w:ascii="仿宋" w:hAnsi="仿宋" w:eastAsia="仿宋" w:cs="仿宋"/>
                      <w:b/>
                      <w:bCs/>
                      <w:sz w:val="21"/>
                      <w:szCs w:val="21"/>
                    </w:rPr>
                  </w:pPr>
                  <w:r>
                    <w:rPr>
                      <w:rFonts w:hint="eastAsia" w:ascii="仿宋" w:hAnsi="仿宋" w:eastAsia="仿宋" w:cs="仿宋"/>
                      <w:b/>
                      <w:bCs/>
                      <w:color w:val="000000"/>
                      <w:sz w:val="21"/>
                      <w:szCs w:val="21"/>
                    </w:rPr>
                    <w:t>分类</w:t>
                  </w:r>
                </w:p>
              </w:tc>
              <w:tc>
                <w:tcPr>
                  <w:tcW w:w="46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0EFF544">
                  <w:pPr>
                    <w:pStyle w:val="8"/>
                    <w:spacing w:line="360" w:lineRule="auto"/>
                    <w:jc w:val="center"/>
                    <w:rPr>
                      <w:rFonts w:hint="eastAsia" w:ascii="仿宋" w:hAnsi="仿宋" w:eastAsia="仿宋" w:cs="仿宋"/>
                      <w:b/>
                      <w:bCs/>
                      <w:sz w:val="21"/>
                      <w:szCs w:val="21"/>
                    </w:rPr>
                  </w:pPr>
                  <w:r>
                    <w:rPr>
                      <w:rFonts w:hint="eastAsia" w:ascii="仿宋" w:hAnsi="仿宋" w:eastAsia="仿宋" w:cs="仿宋"/>
                      <w:b/>
                      <w:bCs/>
                      <w:color w:val="000000"/>
                      <w:sz w:val="21"/>
                      <w:szCs w:val="21"/>
                    </w:rPr>
                    <w:t>项目</w:t>
                  </w:r>
                </w:p>
              </w:tc>
              <w:tc>
                <w:tcPr>
                  <w:tcW w:w="120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37C0218">
                  <w:pPr>
                    <w:pStyle w:val="8"/>
                    <w:spacing w:line="360" w:lineRule="auto"/>
                    <w:jc w:val="center"/>
                    <w:rPr>
                      <w:rFonts w:hint="eastAsia" w:ascii="仿宋" w:hAnsi="仿宋" w:eastAsia="仿宋" w:cs="仿宋"/>
                      <w:b/>
                      <w:bCs/>
                      <w:sz w:val="21"/>
                      <w:szCs w:val="21"/>
                    </w:rPr>
                  </w:pPr>
                  <w:r>
                    <w:rPr>
                      <w:rFonts w:hint="eastAsia" w:ascii="仿宋" w:hAnsi="仿宋" w:eastAsia="仿宋" w:cs="仿宋"/>
                      <w:b/>
                      <w:bCs/>
                      <w:color w:val="000000"/>
                      <w:sz w:val="21"/>
                      <w:szCs w:val="21"/>
                    </w:rPr>
                    <w:t>频率</w:t>
                  </w:r>
                </w:p>
              </w:tc>
              <w:tc>
                <w:tcPr>
                  <w:tcW w:w="84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17B02A89">
                  <w:pPr>
                    <w:pStyle w:val="8"/>
                    <w:spacing w:line="360" w:lineRule="auto"/>
                    <w:jc w:val="center"/>
                    <w:rPr>
                      <w:rFonts w:hint="eastAsia" w:ascii="仿宋" w:hAnsi="仿宋" w:eastAsia="仿宋" w:cs="仿宋"/>
                      <w:b/>
                      <w:bCs/>
                      <w:sz w:val="21"/>
                      <w:szCs w:val="21"/>
                    </w:rPr>
                  </w:pPr>
                  <w:r>
                    <w:rPr>
                      <w:rFonts w:hint="eastAsia" w:ascii="仿宋" w:hAnsi="仿宋" w:eastAsia="仿宋" w:cs="仿宋"/>
                      <w:b/>
                      <w:bCs/>
                      <w:color w:val="000000"/>
                      <w:sz w:val="21"/>
                      <w:szCs w:val="21"/>
                    </w:rPr>
                    <w:t>扣分值</w:t>
                  </w:r>
                </w:p>
              </w:tc>
            </w:tr>
            <w:tr w14:paraId="69D8DA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8EB25A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消防安全管理</w:t>
                  </w: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751A3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消防设施损坏未当天报修</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9AFA2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9C420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108073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9D0C5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设备和水电管理</w:t>
                  </w: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EF87B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下班后未关门窗、照明灯，未关闭用水用</w:t>
                  </w:r>
                  <w:r>
                    <w:rPr>
                      <w:rFonts w:hint="eastAsia" w:ascii="仿宋" w:hAnsi="仿宋" w:eastAsia="仿宋" w:cs="仿宋"/>
                      <w:color w:val="000000"/>
                      <w:sz w:val="21"/>
                      <w:szCs w:val="21"/>
                      <w:lang w:eastAsia="zh-CN"/>
                    </w:rPr>
                    <w:t>电</w:t>
                  </w:r>
                  <w:r>
                    <w:rPr>
                      <w:rFonts w:hint="eastAsia" w:ascii="仿宋" w:hAnsi="仿宋" w:eastAsia="仿宋" w:cs="仿宋"/>
                      <w:color w:val="000000"/>
                      <w:sz w:val="21"/>
                      <w:szCs w:val="21"/>
                    </w:rPr>
                    <w:t>，未关闭设备</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54068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AE6A4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793FD7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nil"/>
                    <w:left w:val="single" w:color="000000" w:sz="4" w:space="0"/>
                    <w:bottom w:val="single" w:color="auto" w:sz="4" w:space="0"/>
                    <w:right w:val="single" w:color="000000" w:sz="4" w:space="0"/>
                  </w:tcBorders>
                  <w:vAlign w:val="center"/>
                </w:tcPr>
                <w:p w14:paraId="1AB23033">
                  <w:pPr>
                    <w:spacing w:line="360" w:lineRule="auto"/>
                    <w:jc w:val="center"/>
                    <w:rPr>
                      <w:rFonts w:hint="eastAsia" w:ascii="仿宋" w:hAnsi="仿宋" w:eastAsia="仿宋" w:cs="仿宋"/>
                      <w:sz w:val="21"/>
                      <w:szCs w:val="21"/>
                    </w:rPr>
                  </w:pPr>
                </w:p>
              </w:tc>
              <w:tc>
                <w:tcPr>
                  <w:tcW w:w="4640" w:type="dxa"/>
                  <w:tcBorders>
                    <w:top w:val="nil"/>
                    <w:left w:val="nil"/>
                    <w:bottom w:val="single" w:color="auto" w:sz="4" w:space="0"/>
                    <w:right w:val="single" w:color="000000" w:sz="4" w:space="0"/>
                  </w:tcBorders>
                  <w:tcMar>
                    <w:top w:w="0" w:type="dxa"/>
                    <w:left w:w="105" w:type="dxa"/>
                    <w:bottom w:w="0" w:type="dxa"/>
                    <w:right w:w="105" w:type="dxa"/>
                  </w:tcMar>
                  <w:vAlign w:val="center"/>
                </w:tcPr>
                <w:p w14:paraId="35C5A22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丢失</w:t>
                  </w:r>
                  <w:r>
                    <w:rPr>
                      <w:rFonts w:hint="eastAsia" w:ascii="仿宋" w:hAnsi="仿宋" w:eastAsia="仿宋" w:cs="仿宋"/>
                      <w:color w:val="000000"/>
                      <w:sz w:val="21"/>
                      <w:szCs w:val="21"/>
                      <w:lang w:val="en-US" w:eastAsia="zh-CN"/>
                    </w:rPr>
                    <w:t>或</w:t>
                  </w:r>
                  <w:r>
                    <w:rPr>
                      <w:rFonts w:hint="eastAsia" w:ascii="仿宋" w:hAnsi="仿宋" w:eastAsia="仿宋" w:cs="仿宋"/>
                      <w:color w:val="000000"/>
                      <w:sz w:val="21"/>
                      <w:szCs w:val="21"/>
                    </w:rPr>
                    <w:t>故意损坏工具器具</w:t>
                  </w:r>
                </w:p>
              </w:tc>
              <w:tc>
                <w:tcPr>
                  <w:tcW w:w="1208" w:type="dxa"/>
                  <w:tcBorders>
                    <w:top w:val="nil"/>
                    <w:left w:val="nil"/>
                    <w:bottom w:val="single" w:color="auto" w:sz="4" w:space="0"/>
                    <w:right w:val="single" w:color="000000" w:sz="4" w:space="0"/>
                  </w:tcBorders>
                  <w:tcMar>
                    <w:top w:w="0" w:type="dxa"/>
                    <w:left w:w="105" w:type="dxa"/>
                    <w:bottom w:w="0" w:type="dxa"/>
                    <w:right w:w="105" w:type="dxa"/>
                  </w:tcMar>
                  <w:vAlign w:val="center"/>
                </w:tcPr>
                <w:p w14:paraId="7B82568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auto" w:sz="4" w:space="0"/>
                    <w:right w:val="single" w:color="000000" w:sz="4" w:space="0"/>
                  </w:tcBorders>
                  <w:tcMar>
                    <w:top w:w="0" w:type="dxa"/>
                    <w:left w:w="105" w:type="dxa"/>
                    <w:bottom w:w="0" w:type="dxa"/>
                    <w:right w:w="105" w:type="dxa"/>
                  </w:tcMar>
                  <w:vAlign w:val="center"/>
                </w:tcPr>
                <w:p w14:paraId="367B4AF1">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lang w:val="en-US" w:eastAsia="zh-CN"/>
                    </w:rPr>
                    <w:t>3</w:t>
                  </w:r>
                </w:p>
              </w:tc>
            </w:tr>
            <w:tr w14:paraId="28C1BF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restart"/>
                  <w:tcBorders>
                    <w:top w:val="single" w:color="auto" w:sz="4" w:space="0"/>
                    <w:left w:val="single" w:color="auto" w:sz="4" w:space="0"/>
                    <w:right w:val="single" w:color="auto" w:sz="4" w:space="0"/>
                  </w:tcBorders>
                  <w:tcMar>
                    <w:top w:w="0" w:type="dxa"/>
                    <w:left w:w="105" w:type="dxa"/>
                    <w:bottom w:w="0" w:type="dxa"/>
                    <w:right w:w="105" w:type="dxa"/>
                  </w:tcMar>
                  <w:vAlign w:val="center"/>
                </w:tcPr>
                <w:p w14:paraId="5C1A220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食材贮藏</w:t>
                  </w: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7528DD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未做到生、熟分开</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7055EA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93033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33F46A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left w:val="single" w:color="auto" w:sz="4" w:space="0"/>
                    <w:right w:val="single" w:color="auto" w:sz="4" w:space="0"/>
                  </w:tcBorders>
                  <w:vAlign w:val="center"/>
                </w:tcPr>
                <w:p w14:paraId="7C3D3423">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87014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未按植物性食材、动物性食材和水产品分类摆放</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7D1817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19C501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227782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left w:val="single" w:color="auto" w:sz="4" w:space="0"/>
                    <w:right w:val="single" w:color="auto" w:sz="4" w:space="0"/>
                  </w:tcBorders>
                  <w:vAlign w:val="center"/>
                </w:tcPr>
                <w:p w14:paraId="55CA3E79">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70E65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保管不善造成食材变质，出库的食材未及时使用超过保质期</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2B9967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362955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5</w:t>
                  </w:r>
                </w:p>
              </w:tc>
            </w:tr>
            <w:tr w14:paraId="5A867C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left w:val="single" w:color="auto" w:sz="4" w:space="0"/>
                    <w:right w:val="single" w:color="auto" w:sz="4" w:space="0"/>
                  </w:tcBorders>
                  <w:vAlign w:val="center"/>
                </w:tcPr>
                <w:p w14:paraId="4C3F2477">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A1249D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贮存食材的场所、设备存放有毒、有害物品及个人生活物品</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A84618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1D7C96">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lang w:val="en-US" w:eastAsia="zh-CN"/>
                    </w:rPr>
                    <w:t>3</w:t>
                  </w:r>
                </w:p>
              </w:tc>
            </w:tr>
            <w:tr w14:paraId="18B628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left w:val="single" w:color="auto" w:sz="4" w:space="0"/>
                    <w:right w:val="single" w:color="auto" w:sz="4" w:space="0"/>
                  </w:tcBorders>
                  <w:vAlign w:val="center"/>
                </w:tcPr>
                <w:p w14:paraId="0635D2E7">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946E9E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食材未分类、隔墙、离地存放，未加封保鲜膜或盖子的</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3B39FA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3AE97D">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lang w:val="en-US" w:eastAsia="zh-CN"/>
                    </w:rPr>
                    <w:t>2</w:t>
                  </w:r>
                </w:p>
              </w:tc>
            </w:tr>
            <w:tr w14:paraId="27DB89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restart"/>
                  <w:tcBorders>
                    <w:top w:val="single" w:color="auto" w:sz="4" w:space="0"/>
                    <w:left w:val="single" w:color="auto" w:sz="4" w:space="0"/>
                    <w:right w:val="single" w:color="auto" w:sz="4" w:space="0"/>
                  </w:tcBorders>
                  <w:vAlign w:val="center"/>
                </w:tcPr>
                <w:p w14:paraId="602609A3">
                  <w:pPr>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食材加工</w:t>
                  </w: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9937BB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饭菜汤未烧熟煮透、有异味、焦糊</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E0D512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B63762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2</w:t>
                  </w:r>
                </w:p>
              </w:tc>
            </w:tr>
            <w:tr w14:paraId="5DF67C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left w:val="single" w:color="auto" w:sz="4" w:space="0"/>
                    <w:right w:val="single" w:color="auto" w:sz="4" w:space="0"/>
                  </w:tcBorders>
                  <w:vAlign w:val="center"/>
                </w:tcPr>
                <w:p w14:paraId="5B726188">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227F74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使用禁止食用的食</w:t>
                  </w:r>
                  <w:r>
                    <w:rPr>
                      <w:rFonts w:hint="eastAsia" w:ascii="仿宋" w:hAnsi="仿宋" w:eastAsia="仿宋" w:cs="仿宋"/>
                      <w:color w:val="000000"/>
                      <w:sz w:val="21"/>
                      <w:szCs w:val="21"/>
                      <w:lang w:val="en-US" w:eastAsia="zh-CN"/>
                    </w:rPr>
                    <w:t>物（材）</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D6EB4F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311EEC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5</w:t>
                  </w:r>
                </w:p>
              </w:tc>
            </w:tr>
            <w:tr w14:paraId="5A12A7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left w:val="single" w:color="auto" w:sz="4" w:space="0"/>
                    <w:right w:val="single" w:color="auto" w:sz="4" w:space="0"/>
                  </w:tcBorders>
                  <w:vAlign w:val="center"/>
                </w:tcPr>
                <w:p w14:paraId="02A74B4A">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0A4685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在制作加工中使用非食用物质或滥用食材添加剂</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9ABCBC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10F7A2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5</w:t>
                  </w:r>
                </w:p>
              </w:tc>
            </w:tr>
            <w:tr w14:paraId="5D6622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left w:val="single" w:color="auto" w:sz="4" w:space="0"/>
                    <w:right w:val="single" w:color="auto" w:sz="4" w:space="0"/>
                  </w:tcBorders>
                  <w:vAlign w:val="center"/>
                </w:tcPr>
                <w:p w14:paraId="0E48C494">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E7CE07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在制作加工中直接用菜勺汤勺、手拿试味</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2C8E94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1D7982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2</w:t>
                  </w:r>
                </w:p>
              </w:tc>
            </w:tr>
            <w:tr w14:paraId="6F74FA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left w:val="single" w:color="auto" w:sz="4" w:space="0"/>
                    <w:right w:val="single" w:color="auto" w:sz="4" w:space="0"/>
                  </w:tcBorders>
                  <w:vAlign w:val="center"/>
                </w:tcPr>
                <w:p w14:paraId="79073921">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907034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使用变质、过期食材</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15802B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A7951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5</w:t>
                  </w:r>
                </w:p>
              </w:tc>
            </w:tr>
            <w:tr w14:paraId="2EFF8C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left w:val="single" w:color="auto" w:sz="4" w:space="0"/>
                    <w:bottom w:val="single" w:color="auto" w:sz="4" w:space="0"/>
                    <w:right w:val="single" w:color="auto" w:sz="4" w:space="0"/>
                  </w:tcBorders>
                  <w:vAlign w:val="center"/>
                </w:tcPr>
                <w:p w14:paraId="4C9D33EA">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8A84D51">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因未合理利用边角料、未按就餐人数动态调整投料量，导致食材利用率过低，造成明显浪费（剩余饭菜量超过当日总量的15%）</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ECF2FBC">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2DD546E">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5</w:t>
                  </w:r>
                </w:p>
              </w:tc>
            </w:tr>
            <w:tr w14:paraId="4C074B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0455F80">
                  <w:pPr>
                    <w:pStyle w:val="8"/>
                    <w:spacing w:line="360" w:lineRule="auto"/>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食材出品</w:t>
                  </w:r>
                </w:p>
              </w:tc>
              <w:tc>
                <w:tcPr>
                  <w:tcW w:w="4640" w:type="dxa"/>
                  <w:tcBorders>
                    <w:top w:val="single" w:color="auto" w:sz="4" w:space="0"/>
                    <w:left w:val="single" w:color="auto" w:sz="4" w:space="0"/>
                    <w:bottom w:val="single" w:color="000000" w:sz="4" w:space="0"/>
                    <w:right w:val="single" w:color="000000" w:sz="4" w:space="0"/>
                  </w:tcBorders>
                  <w:tcMar>
                    <w:top w:w="0" w:type="dxa"/>
                    <w:left w:w="105" w:type="dxa"/>
                    <w:bottom w:w="0" w:type="dxa"/>
                    <w:right w:w="105" w:type="dxa"/>
                  </w:tcMar>
                  <w:vAlign w:val="center"/>
                </w:tcPr>
                <w:p w14:paraId="4941CFEE">
                  <w:pPr>
                    <w:pStyle w:val="8"/>
                    <w:spacing w:line="360" w:lineRule="auto"/>
                    <w:jc w:val="both"/>
                    <w:rPr>
                      <w:rFonts w:hint="eastAsia" w:ascii="仿宋" w:hAnsi="仿宋" w:eastAsia="仿宋" w:cs="仿宋"/>
                      <w:color w:val="000000"/>
                      <w:sz w:val="21"/>
                      <w:szCs w:val="21"/>
                    </w:rPr>
                  </w:pPr>
                  <w:r>
                    <w:rPr>
                      <w:rFonts w:ascii="仿宋" w:hAnsi="仿宋" w:eastAsia="仿宋" w:cs="仿宋"/>
                      <w:i w:val="0"/>
                      <w:iCs w:val="0"/>
                      <w:caps w:val="0"/>
                      <w:color w:val="0F1115"/>
                      <w:spacing w:val="0"/>
                      <w:sz w:val="21"/>
                      <w:szCs w:val="21"/>
                      <w:shd w:val="clear" w:fill="auto"/>
                    </w:rPr>
                    <w:t>菜品中发现异物（如头发、塑料片、纤维</w:t>
                  </w:r>
                  <w:r>
                    <w:rPr>
                      <w:rFonts w:hint="eastAsia" w:ascii="仿宋" w:hAnsi="仿宋" w:eastAsia="仿宋" w:cs="仿宋"/>
                      <w:i w:val="0"/>
                      <w:iCs w:val="0"/>
                      <w:caps w:val="0"/>
                      <w:color w:val="000000"/>
                      <w:spacing w:val="0"/>
                      <w:sz w:val="21"/>
                      <w:szCs w:val="21"/>
                      <w:shd w:val="clear"/>
                      <w:lang w:eastAsia="zh-CN"/>
                    </w:rPr>
                    <w:t>、</w:t>
                  </w:r>
                  <w:r>
                    <w:rPr>
                      <w:rFonts w:hint="eastAsia" w:ascii="仿宋" w:hAnsi="仿宋" w:eastAsia="仿宋" w:cs="仿宋"/>
                      <w:i w:val="0"/>
                      <w:iCs w:val="0"/>
                      <w:caps w:val="0"/>
                      <w:color w:val="000000"/>
                      <w:spacing w:val="0"/>
                      <w:sz w:val="21"/>
                      <w:szCs w:val="21"/>
                      <w:shd w:val="clear"/>
                      <w:lang w:val="en-US" w:eastAsia="zh-CN"/>
                    </w:rPr>
                    <w:t>泥沙</w:t>
                  </w:r>
                  <w:r>
                    <w:rPr>
                      <w:rFonts w:ascii="仿宋" w:hAnsi="仿宋" w:eastAsia="仿宋" w:cs="仿宋"/>
                      <w:i w:val="0"/>
                      <w:iCs w:val="0"/>
                      <w:caps w:val="0"/>
                      <w:color w:val="0F1115"/>
                      <w:spacing w:val="0"/>
                      <w:sz w:val="21"/>
                      <w:szCs w:val="21"/>
                      <w:shd w:val="clear" w:fill="auto"/>
                    </w:rPr>
                    <w:t>蟑螂</w:t>
                  </w:r>
                  <w:r>
                    <w:rPr>
                      <w:rFonts w:hint="eastAsia" w:ascii="仿宋" w:hAnsi="仿宋" w:eastAsia="仿宋" w:cs="仿宋"/>
                      <w:i w:val="0"/>
                      <w:iCs w:val="0"/>
                      <w:caps w:val="0"/>
                      <w:color w:val="000000"/>
                      <w:spacing w:val="0"/>
                      <w:sz w:val="21"/>
                      <w:szCs w:val="21"/>
                      <w:shd w:val="clear"/>
                      <w:lang w:eastAsia="zh-CN"/>
                    </w:rPr>
                    <w:t>、</w:t>
                  </w:r>
                  <w:r>
                    <w:rPr>
                      <w:rFonts w:ascii="仿宋" w:hAnsi="仿宋" w:eastAsia="仿宋" w:cs="仿宋"/>
                      <w:i w:val="0"/>
                      <w:iCs w:val="0"/>
                      <w:caps w:val="0"/>
                      <w:color w:val="0F1115"/>
                      <w:spacing w:val="0"/>
                      <w:sz w:val="21"/>
                      <w:szCs w:val="21"/>
                      <w:shd w:val="clear" w:fill="auto"/>
                    </w:rPr>
                    <w:t>蚊蝇等）</w:t>
                  </w:r>
                </w:p>
              </w:tc>
              <w:tc>
                <w:tcPr>
                  <w:tcW w:w="1208" w:type="dxa"/>
                  <w:tcBorders>
                    <w:top w:val="single" w:color="auto" w:sz="4" w:space="0"/>
                    <w:left w:val="nil"/>
                    <w:bottom w:val="single" w:color="000000" w:sz="4" w:space="0"/>
                    <w:right w:val="single" w:color="000000" w:sz="4" w:space="0"/>
                  </w:tcBorders>
                  <w:tcMar>
                    <w:top w:w="0" w:type="dxa"/>
                    <w:left w:w="105" w:type="dxa"/>
                    <w:bottom w:w="0" w:type="dxa"/>
                    <w:right w:w="105" w:type="dxa"/>
                  </w:tcMar>
                  <w:vAlign w:val="center"/>
                </w:tcPr>
                <w:p w14:paraId="5D9AAF35">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nil"/>
                    <w:bottom w:val="single" w:color="000000" w:sz="4" w:space="0"/>
                    <w:right w:val="single" w:color="000000" w:sz="4" w:space="0"/>
                  </w:tcBorders>
                  <w:tcMar>
                    <w:top w:w="0" w:type="dxa"/>
                    <w:left w:w="105" w:type="dxa"/>
                    <w:bottom w:w="0" w:type="dxa"/>
                    <w:right w:w="105" w:type="dxa"/>
                  </w:tcMar>
                  <w:vAlign w:val="center"/>
                </w:tcPr>
                <w:p w14:paraId="0A8524A2">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5</w:t>
                  </w:r>
                </w:p>
              </w:tc>
            </w:tr>
            <w:tr w14:paraId="09FA56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EC0CCCE">
                  <w:pPr>
                    <w:pStyle w:val="8"/>
                    <w:spacing w:line="360" w:lineRule="auto"/>
                    <w:jc w:val="center"/>
                    <w:rPr>
                      <w:rFonts w:hint="eastAsia" w:ascii="仿宋" w:hAnsi="仿宋" w:eastAsia="仿宋" w:cs="仿宋"/>
                      <w:color w:val="000000"/>
                      <w:sz w:val="21"/>
                      <w:szCs w:val="21"/>
                    </w:rPr>
                  </w:pPr>
                </w:p>
              </w:tc>
              <w:tc>
                <w:tcPr>
                  <w:tcW w:w="4640" w:type="dxa"/>
                  <w:tcBorders>
                    <w:top w:val="nil"/>
                    <w:left w:val="single" w:color="auto" w:sz="4" w:space="0"/>
                    <w:bottom w:val="single" w:color="000000" w:sz="4" w:space="0"/>
                    <w:right w:val="single" w:color="000000" w:sz="4" w:space="0"/>
                  </w:tcBorders>
                  <w:tcMar>
                    <w:top w:w="0" w:type="dxa"/>
                    <w:left w:w="105" w:type="dxa"/>
                    <w:bottom w:w="0" w:type="dxa"/>
                    <w:right w:w="105" w:type="dxa"/>
                  </w:tcMar>
                  <w:vAlign w:val="center"/>
                </w:tcPr>
                <w:p w14:paraId="57CCA233">
                  <w:pPr>
                    <w:pStyle w:val="8"/>
                    <w:spacing w:line="360" w:lineRule="auto"/>
                    <w:jc w:val="both"/>
                    <w:rPr>
                      <w:rFonts w:hint="eastAsia" w:ascii="仿宋" w:hAnsi="仿宋" w:eastAsia="仿宋" w:cs="仿宋"/>
                      <w:i w:val="0"/>
                      <w:iCs w:val="0"/>
                      <w:caps w:val="0"/>
                      <w:color w:val="0F1115"/>
                      <w:spacing w:val="0"/>
                      <w:sz w:val="21"/>
                      <w:szCs w:val="21"/>
                      <w:shd w:val="clear" w:fill="auto"/>
                      <w:lang w:eastAsia="zh-CN"/>
                    </w:rPr>
                  </w:pPr>
                  <w:r>
                    <w:rPr>
                      <w:rFonts w:ascii="仿宋" w:hAnsi="仿宋" w:eastAsia="仿宋" w:cs="仿宋"/>
                      <w:i w:val="0"/>
                      <w:iCs w:val="0"/>
                      <w:caps w:val="0"/>
                      <w:color w:val="0F1115"/>
                      <w:spacing w:val="0"/>
                      <w:sz w:val="21"/>
                      <w:szCs w:val="21"/>
                      <w:shd w:val="clear" w:fill="auto"/>
                    </w:rPr>
                    <w:t>出品存在品质隐患（口味严重偏咸、偏淡、偏焦或其他明显调味失误、食材不新鲜、色泽异常等），未在出品前主动向采购人报备并协商解决，擅自出品供餐</w:t>
                  </w:r>
                  <w:r>
                    <w:rPr>
                      <w:rFonts w:hint="eastAsia" w:ascii="仿宋" w:hAnsi="仿宋" w:eastAsia="仿宋" w:cs="仿宋"/>
                      <w:i w:val="0"/>
                      <w:iCs w:val="0"/>
                      <w:caps w:val="0"/>
                      <w:color w:val="0F1115"/>
                      <w:spacing w:val="0"/>
                      <w:sz w:val="21"/>
                      <w:szCs w:val="21"/>
                      <w:shd w:val="clear" w:fill="auto"/>
                      <w:lang w:eastAsia="zh-CN"/>
                    </w:rPr>
                    <w:t>。</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8D34EC">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2559CF">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5</w:t>
                  </w:r>
                </w:p>
              </w:tc>
            </w:tr>
            <w:tr w14:paraId="3CD097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DB143B1">
                  <w:pPr>
                    <w:pStyle w:val="8"/>
                    <w:spacing w:line="360" w:lineRule="auto"/>
                    <w:jc w:val="center"/>
                    <w:rPr>
                      <w:rFonts w:hint="eastAsia" w:ascii="仿宋" w:hAnsi="仿宋" w:eastAsia="仿宋" w:cs="仿宋"/>
                      <w:color w:val="000000"/>
                      <w:sz w:val="21"/>
                      <w:szCs w:val="21"/>
                    </w:rPr>
                  </w:pPr>
                </w:p>
              </w:tc>
              <w:tc>
                <w:tcPr>
                  <w:tcW w:w="4640" w:type="dxa"/>
                  <w:tcBorders>
                    <w:top w:val="nil"/>
                    <w:left w:val="single" w:color="auto"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2696E623">
                  <w:pPr>
                    <w:pStyle w:val="8"/>
                    <w:spacing w:line="360" w:lineRule="auto"/>
                    <w:jc w:val="both"/>
                    <w:rPr>
                      <w:rFonts w:hint="default" w:ascii="仿宋" w:hAnsi="仿宋" w:eastAsia="仿宋" w:cs="仿宋"/>
                      <w:i w:val="0"/>
                      <w:iCs w:val="0"/>
                      <w:caps w:val="0"/>
                      <w:color w:val="0F1115"/>
                      <w:spacing w:val="0"/>
                      <w:sz w:val="21"/>
                      <w:szCs w:val="21"/>
                      <w:shd w:val="clear" w:fill="auto"/>
                      <w:lang w:val="en-US" w:eastAsia="zh-CN"/>
                    </w:rPr>
                  </w:pPr>
                  <w:r>
                    <w:rPr>
                      <w:rFonts w:hint="eastAsia" w:ascii="仿宋" w:hAnsi="仿宋" w:eastAsia="仿宋" w:cs="仿宋"/>
                      <w:i w:val="0"/>
                      <w:iCs w:val="0"/>
                      <w:caps w:val="0"/>
                      <w:color w:val="0F1115"/>
                      <w:spacing w:val="0"/>
                      <w:sz w:val="21"/>
                      <w:szCs w:val="21"/>
                      <w:shd w:val="clear" w:fill="auto"/>
                      <w:lang w:val="en-US" w:eastAsia="zh-CN"/>
                    </w:rPr>
                    <w:t>未配合采购人服务团队烹制各种菜式，掌握不同菜式的烹饪技巧和方法，出品精良，色、香、味佳，口感过咸、过油、粘糊等情况的</w:t>
                  </w:r>
                </w:p>
              </w:tc>
              <w:tc>
                <w:tcPr>
                  <w:tcW w:w="1208"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BD1A3F9">
                  <w:pPr>
                    <w:pStyle w:val="8"/>
                    <w:spacing w:line="360" w:lineRule="auto"/>
                    <w:jc w:val="center"/>
                    <w:rPr>
                      <w:rFonts w:hint="eastAsia" w:ascii="仿宋" w:hAnsi="仿宋" w:eastAsia="仿宋" w:cs="仿宋"/>
                      <w:color w:val="000000"/>
                      <w:sz w:val="21"/>
                      <w:szCs w:val="21"/>
                      <w:lang w:val="en-US" w:eastAsia="zh-Hans"/>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128D07">
                  <w:pPr>
                    <w:pStyle w:val="8"/>
                    <w:spacing w:line="360" w:lineRule="auto"/>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val="en-US" w:eastAsia="zh-CN"/>
                    </w:rPr>
                    <w:t>2</w:t>
                  </w:r>
                </w:p>
              </w:tc>
            </w:tr>
            <w:tr w14:paraId="3F4953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E66E5E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卫生清洁</w:t>
                  </w:r>
                </w:p>
              </w:tc>
              <w:tc>
                <w:tcPr>
                  <w:tcW w:w="4640" w:type="dxa"/>
                  <w:tcBorders>
                    <w:top w:val="nil"/>
                    <w:left w:val="single" w:color="auto" w:sz="4" w:space="0"/>
                    <w:bottom w:val="single" w:color="000000" w:sz="4" w:space="0"/>
                    <w:right w:val="single" w:color="000000" w:sz="4" w:space="0"/>
                  </w:tcBorders>
                  <w:tcMar>
                    <w:top w:w="0" w:type="dxa"/>
                    <w:left w:w="105" w:type="dxa"/>
                    <w:bottom w:w="0" w:type="dxa"/>
                    <w:right w:w="105" w:type="dxa"/>
                  </w:tcMar>
                  <w:vAlign w:val="center"/>
                </w:tcPr>
                <w:p w14:paraId="29C075C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地面、墙面、灶台、操作台、菜架、餐具摆放柜台等有明显油渍、垃圾、水迹未及时清理</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ACE85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1C3BB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28BD25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auto" w:sz="4" w:space="0"/>
                    <w:bottom w:val="single" w:color="auto" w:sz="4" w:space="0"/>
                    <w:right w:val="single" w:color="auto" w:sz="4" w:space="0"/>
                  </w:tcBorders>
                  <w:vAlign w:val="center"/>
                </w:tcPr>
                <w:p w14:paraId="323B2359">
                  <w:pPr>
                    <w:spacing w:line="360" w:lineRule="auto"/>
                    <w:jc w:val="center"/>
                    <w:rPr>
                      <w:rFonts w:hint="eastAsia" w:ascii="仿宋" w:hAnsi="仿宋" w:eastAsia="仿宋" w:cs="仿宋"/>
                      <w:sz w:val="21"/>
                      <w:szCs w:val="21"/>
                    </w:rPr>
                  </w:pPr>
                </w:p>
              </w:tc>
              <w:tc>
                <w:tcPr>
                  <w:tcW w:w="4640" w:type="dxa"/>
                  <w:tcBorders>
                    <w:top w:val="nil"/>
                    <w:left w:val="single" w:color="auto" w:sz="4" w:space="0"/>
                    <w:bottom w:val="single" w:color="000000" w:sz="4" w:space="0"/>
                    <w:right w:val="single" w:color="000000" w:sz="4" w:space="0"/>
                  </w:tcBorders>
                  <w:tcMar>
                    <w:top w:w="0" w:type="dxa"/>
                    <w:left w:w="105" w:type="dxa"/>
                    <w:bottom w:w="0" w:type="dxa"/>
                    <w:right w:w="105" w:type="dxa"/>
                  </w:tcMar>
                  <w:vAlign w:val="center"/>
                </w:tcPr>
                <w:p w14:paraId="6A40994D">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墙壁、天花板、门窗等有蜘蛛网、霉斑或其它明显积垢</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19E68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2C4DC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0124D9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auto" w:sz="4" w:space="0"/>
                    <w:bottom w:val="single" w:color="auto" w:sz="4" w:space="0"/>
                    <w:right w:val="single" w:color="auto" w:sz="4" w:space="0"/>
                  </w:tcBorders>
                  <w:vAlign w:val="center"/>
                </w:tcPr>
                <w:p w14:paraId="42EF92ED">
                  <w:pPr>
                    <w:spacing w:line="360" w:lineRule="auto"/>
                    <w:jc w:val="center"/>
                    <w:rPr>
                      <w:rFonts w:hint="eastAsia" w:ascii="仿宋" w:hAnsi="仿宋" w:eastAsia="仿宋" w:cs="仿宋"/>
                      <w:sz w:val="21"/>
                      <w:szCs w:val="21"/>
                    </w:rPr>
                  </w:pPr>
                </w:p>
              </w:tc>
              <w:tc>
                <w:tcPr>
                  <w:tcW w:w="4640" w:type="dxa"/>
                  <w:tcBorders>
                    <w:top w:val="nil"/>
                    <w:left w:val="single" w:color="auto" w:sz="4" w:space="0"/>
                    <w:bottom w:val="single" w:color="000000" w:sz="4" w:space="0"/>
                    <w:right w:val="single" w:color="000000" w:sz="4" w:space="0"/>
                  </w:tcBorders>
                  <w:tcMar>
                    <w:top w:w="0" w:type="dxa"/>
                    <w:left w:w="105" w:type="dxa"/>
                    <w:bottom w:w="0" w:type="dxa"/>
                    <w:right w:w="105" w:type="dxa"/>
                  </w:tcMar>
                  <w:vAlign w:val="center"/>
                </w:tcPr>
                <w:p w14:paraId="37C7FF8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下水道有异味</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6F04B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BE826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2B8CC4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auto" w:sz="4" w:space="0"/>
                    <w:bottom w:val="single" w:color="auto" w:sz="4" w:space="0"/>
                    <w:right w:val="single" w:color="auto" w:sz="4" w:space="0"/>
                  </w:tcBorders>
                  <w:vAlign w:val="center"/>
                </w:tcPr>
                <w:p w14:paraId="56708517">
                  <w:pPr>
                    <w:spacing w:line="360" w:lineRule="auto"/>
                    <w:jc w:val="center"/>
                    <w:rPr>
                      <w:rFonts w:hint="eastAsia" w:ascii="仿宋" w:hAnsi="仿宋" w:eastAsia="仿宋" w:cs="仿宋"/>
                      <w:sz w:val="21"/>
                      <w:szCs w:val="21"/>
                    </w:rPr>
                  </w:pPr>
                </w:p>
              </w:tc>
              <w:tc>
                <w:tcPr>
                  <w:tcW w:w="4640" w:type="dxa"/>
                  <w:tcBorders>
                    <w:top w:val="nil"/>
                    <w:left w:val="single" w:color="auto" w:sz="4" w:space="0"/>
                    <w:bottom w:val="single" w:color="000000" w:sz="4" w:space="0"/>
                    <w:right w:val="single" w:color="000000" w:sz="4" w:space="0"/>
                  </w:tcBorders>
                  <w:tcMar>
                    <w:top w:w="0" w:type="dxa"/>
                    <w:left w:w="105" w:type="dxa"/>
                    <w:bottom w:w="0" w:type="dxa"/>
                    <w:right w:w="105" w:type="dxa"/>
                  </w:tcMar>
                  <w:vAlign w:val="center"/>
                </w:tcPr>
                <w:p w14:paraId="5B7932F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未及时按照相关规定进行规范处置或私自处理餐厨垃圾</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44D14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2605D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033DB8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auto" w:sz="4" w:space="0"/>
                    <w:bottom w:val="single" w:color="auto" w:sz="4" w:space="0"/>
                    <w:right w:val="single" w:color="auto" w:sz="4" w:space="0"/>
                  </w:tcBorders>
                  <w:vAlign w:val="center"/>
                </w:tcPr>
                <w:p w14:paraId="377AECB0">
                  <w:pPr>
                    <w:spacing w:line="360" w:lineRule="auto"/>
                    <w:jc w:val="center"/>
                    <w:rPr>
                      <w:rFonts w:hint="eastAsia" w:ascii="仿宋" w:hAnsi="仿宋" w:eastAsia="仿宋" w:cs="仿宋"/>
                      <w:sz w:val="21"/>
                      <w:szCs w:val="21"/>
                    </w:rPr>
                  </w:pPr>
                </w:p>
              </w:tc>
              <w:tc>
                <w:tcPr>
                  <w:tcW w:w="4640" w:type="dxa"/>
                  <w:tcBorders>
                    <w:top w:val="nil"/>
                    <w:left w:val="single" w:color="auto" w:sz="4" w:space="0"/>
                    <w:bottom w:val="single" w:color="000000" w:sz="4" w:space="0"/>
                    <w:right w:val="single" w:color="000000" w:sz="4" w:space="0"/>
                  </w:tcBorders>
                  <w:tcMar>
                    <w:top w:w="0" w:type="dxa"/>
                    <w:left w:w="105" w:type="dxa"/>
                    <w:bottom w:w="0" w:type="dxa"/>
                    <w:right w:w="105" w:type="dxa"/>
                  </w:tcMar>
                  <w:vAlign w:val="center"/>
                </w:tcPr>
                <w:p w14:paraId="434EED5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除“四害”及防尘措施不落实</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3A17B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677A3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16A807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restart"/>
                  <w:tcBorders>
                    <w:top w:val="single" w:color="auto" w:sz="4" w:space="0"/>
                    <w:left w:val="single" w:color="000000" w:sz="4" w:space="0"/>
                    <w:bottom w:val="single" w:color="auto" w:sz="4" w:space="0"/>
                    <w:right w:val="single" w:color="000000" w:sz="4" w:space="0"/>
                  </w:tcBorders>
                  <w:tcMar>
                    <w:top w:w="0" w:type="dxa"/>
                    <w:left w:w="105" w:type="dxa"/>
                    <w:bottom w:w="0" w:type="dxa"/>
                    <w:right w:w="105" w:type="dxa"/>
                  </w:tcMar>
                  <w:vAlign w:val="center"/>
                </w:tcPr>
                <w:p w14:paraId="4B82F5F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员工管理</w:t>
                  </w: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4486E6">
                  <w:pPr>
                    <w:pStyle w:val="8"/>
                    <w:spacing w:line="360" w:lineRule="auto"/>
                    <w:jc w:val="center"/>
                    <w:rPr>
                      <w:rFonts w:hint="default" w:ascii="仿宋" w:hAnsi="仿宋" w:eastAsia="仿宋" w:cs="仿宋"/>
                      <w:sz w:val="21"/>
                      <w:szCs w:val="21"/>
                      <w:lang w:val="en-US" w:eastAsia="zh-CN"/>
                    </w:rPr>
                  </w:pPr>
                  <w:r>
                    <w:rPr>
                      <w:rFonts w:hint="eastAsia" w:ascii="仿宋" w:hAnsi="仿宋" w:eastAsia="仿宋" w:cs="仿宋"/>
                      <w:color w:val="000000"/>
                      <w:sz w:val="21"/>
                      <w:szCs w:val="21"/>
                    </w:rPr>
                    <w:t>在食堂内睡觉、追逐打闹、粗言秽语、抽烟、喝酒</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上班时间做与工作不相关的事情。</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FF01C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F7ED00">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lang w:val="en-US" w:eastAsia="zh-CN"/>
                    </w:rPr>
                    <w:t>2</w:t>
                  </w:r>
                </w:p>
              </w:tc>
            </w:tr>
            <w:tr w14:paraId="6D9B1B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1D2EB233">
                  <w:pPr>
                    <w:spacing w:line="360" w:lineRule="auto"/>
                    <w:jc w:val="center"/>
                    <w:rPr>
                      <w:rFonts w:hint="eastAsia" w:ascii="仿宋" w:hAnsi="仿宋" w:eastAsia="仿宋" w:cs="仿宋"/>
                      <w:sz w:val="21"/>
                      <w:szCs w:val="21"/>
                    </w:rPr>
                  </w:pP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2723A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不按要求配置人员岗位</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FD4A9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每天每个</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FA882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1F4E2F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17132FA3">
                  <w:pPr>
                    <w:spacing w:line="360" w:lineRule="auto"/>
                    <w:jc w:val="center"/>
                    <w:rPr>
                      <w:rFonts w:hint="eastAsia" w:ascii="仿宋" w:hAnsi="仿宋" w:eastAsia="仿宋" w:cs="仿宋"/>
                      <w:sz w:val="21"/>
                      <w:szCs w:val="21"/>
                    </w:rPr>
                  </w:pP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048B6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工作时间非因工作使用手机超过10分钟</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FBC0FE">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54A99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6DE2A0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11AC2BBF">
                  <w:pPr>
                    <w:spacing w:line="360" w:lineRule="auto"/>
                    <w:jc w:val="center"/>
                    <w:rPr>
                      <w:rFonts w:hint="eastAsia" w:ascii="仿宋" w:hAnsi="仿宋" w:eastAsia="仿宋" w:cs="仿宋"/>
                      <w:sz w:val="21"/>
                      <w:szCs w:val="21"/>
                    </w:rPr>
                  </w:pP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B5EDD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随地吐痰、乱扔纸屑、杂物及各种不卫生行为</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2BA5A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37FA8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26A9DD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6B6C342D">
                  <w:pPr>
                    <w:spacing w:line="360" w:lineRule="auto"/>
                    <w:jc w:val="center"/>
                    <w:rPr>
                      <w:rFonts w:hint="eastAsia" w:ascii="仿宋" w:hAnsi="仿宋" w:eastAsia="仿宋" w:cs="仿宋"/>
                      <w:sz w:val="21"/>
                      <w:szCs w:val="21"/>
                    </w:rPr>
                  </w:pP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B1B48A">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利用工作之便假公济私、谋取私利、偷吃偷拿东西</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偷拿物品需照价赔偿</w:t>
                  </w:r>
                  <w:r>
                    <w:rPr>
                      <w:rFonts w:hint="eastAsia" w:ascii="仿宋" w:hAnsi="仿宋" w:eastAsia="仿宋" w:cs="仿宋"/>
                      <w:color w:val="000000"/>
                      <w:sz w:val="21"/>
                      <w:szCs w:val="21"/>
                      <w:lang w:eastAsia="zh-CN"/>
                    </w:rPr>
                    <w:t>）</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33892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BC287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10</w:t>
                  </w:r>
                </w:p>
              </w:tc>
            </w:tr>
            <w:tr w14:paraId="0FB740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05E5C893">
                  <w:pPr>
                    <w:spacing w:line="360" w:lineRule="auto"/>
                    <w:jc w:val="center"/>
                    <w:rPr>
                      <w:rFonts w:hint="eastAsia" w:ascii="仿宋" w:hAnsi="仿宋" w:eastAsia="仿宋" w:cs="仿宋"/>
                      <w:sz w:val="21"/>
                      <w:szCs w:val="21"/>
                    </w:rPr>
                  </w:pP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EEA8C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健康合格证明超过有效期</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A103F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每超1天</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B6356F">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50AC47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7FAB5558">
                  <w:pPr>
                    <w:spacing w:line="360" w:lineRule="auto"/>
                    <w:jc w:val="center"/>
                    <w:rPr>
                      <w:rFonts w:hint="eastAsia" w:ascii="仿宋" w:hAnsi="仿宋" w:eastAsia="仿宋" w:cs="仿宋"/>
                      <w:sz w:val="21"/>
                      <w:szCs w:val="21"/>
                    </w:rPr>
                  </w:pP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74888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未按规范佩戴口罩、帽子、手套、穿工作服</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CDE68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FEFFE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00E31B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211D499A">
                  <w:pPr>
                    <w:spacing w:line="360" w:lineRule="auto"/>
                    <w:jc w:val="center"/>
                    <w:rPr>
                      <w:rFonts w:hint="eastAsia" w:ascii="仿宋" w:hAnsi="仿宋" w:eastAsia="仿宋" w:cs="仿宋"/>
                      <w:sz w:val="21"/>
                      <w:szCs w:val="21"/>
                    </w:rPr>
                  </w:pP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8FC6D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留长指甲、涂指甲油、佩戴饰物、工作衣帽不整洁</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A52A3C">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D4BFD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46D01F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3F9F3696">
                  <w:pPr>
                    <w:spacing w:line="360" w:lineRule="auto"/>
                    <w:jc w:val="center"/>
                    <w:rPr>
                      <w:rFonts w:hint="eastAsia" w:ascii="仿宋" w:hAnsi="仿宋" w:eastAsia="仿宋" w:cs="仿宋"/>
                      <w:sz w:val="21"/>
                      <w:szCs w:val="21"/>
                    </w:rPr>
                  </w:pP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06105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未报采购人审批，擅自带领外人进入采购人区域的</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2E922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1E388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2A08D6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493ED1B7">
                  <w:pPr>
                    <w:spacing w:line="360" w:lineRule="auto"/>
                    <w:jc w:val="center"/>
                    <w:rPr>
                      <w:rFonts w:hint="eastAsia" w:ascii="仿宋" w:hAnsi="仿宋" w:eastAsia="仿宋" w:cs="仿宋"/>
                      <w:sz w:val="21"/>
                      <w:szCs w:val="21"/>
                    </w:rPr>
                  </w:pP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758BD4">
                  <w:pPr>
                    <w:pStyle w:val="8"/>
                    <w:spacing w:line="360" w:lineRule="auto"/>
                    <w:jc w:val="center"/>
                    <w:rPr>
                      <w:rFonts w:hint="eastAsia" w:ascii="仿宋" w:hAnsi="仿宋" w:eastAsia="仿宋" w:cs="仿宋"/>
                      <w:sz w:val="21"/>
                      <w:szCs w:val="21"/>
                      <w:lang w:eastAsia="zh-CN"/>
                    </w:rPr>
                  </w:pPr>
                  <w:r>
                    <w:rPr>
                      <w:rFonts w:hint="eastAsia" w:ascii="仿宋" w:hAnsi="仿宋" w:eastAsia="仿宋" w:cs="仿宋"/>
                      <w:color w:val="000000"/>
                      <w:sz w:val="21"/>
                      <w:szCs w:val="21"/>
                    </w:rPr>
                    <w:t>当月人员总出勤率（全体人员工作实际天数/</w:t>
                  </w:r>
                  <w:r>
                    <w:rPr>
                      <w:rFonts w:hint="eastAsia" w:ascii="仿宋" w:hAnsi="仿宋" w:eastAsia="仿宋" w:cs="仿宋"/>
                      <w:color w:val="000000"/>
                      <w:sz w:val="21"/>
                      <w:szCs w:val="21"/>
                      <w:lang w:val="en-US" w:eastAsia="zh-CN"/>
                    </w:rPr>
                    <w:t>当月</w:t>
                  </w:r>
                  <w:r>
                    <w:rPr>
                      <w:rFonts w:hint="eastAsia" w:ascii="仿宋" w:hAnsi="仿宋" w:eastAsia="仿宋" w:cs="仿宋"/>
                      <w:color w:val="000000"/>
                      <w:sz w:val="21"/>
                      <w:szCs w:val="21"/>
                    </w:rPr>
                    <w:t>全体人员</w:t>
                  </w:r>
                  <w:r>
                    <w:rPr>
                      <w:rFonts w:hint="eastAsia" w:ascii="仿宋" w:hAnsi="仿宋" w:eastAsia="仿宋" w:cs="仿宋"/>
                      <w:color w:val="000000"/>
                      <w:sz w:val="21"/>
                      <w:szCs w:val="21"/>
                      <w:lang w:val="en-US" w:eastAsia="zh-CN"/>
                    </w:rPr>
                    <w:t>排班</w:t>
                  </w:r>
                  <w:r>
                    <w:rPr>
                      <w:rFonts w:hint="eastAsia" w:ascii="仿宋" w:hAnsi="仿宋" w:eastAsia="仿宋" w:cs="仿宋"/>
                      <w:color w:val="000000"/>
                      <w:sz w:val="21"/>
                      <w:szCs w:val="21"/>
                    </w:rPr>
                    <w:t>应工作天数）低于95%</w:t>
                  </w:r>
                  <w:r>
                    <w:rPr>
                      <w:rFonts w:hint="eastAsia" w:ascii="仿宋" w:hAnsi="仿宋" w:eastAsia="仿宋" w:cs="仿宋"/>
                      <w:color w:val="000000"/>
                      <w:sz w:val="21"/>
                      <w:szCs w:val="21"/>
                      <w:lang w:eastAsia="zh-CN"/>
                    </w:rPr>
                    <w:t>，其中，排班表内的休息日不计入应工作天数。为确保排班均衡性及劳动合规，各班组排班须严格执行每人每周（以自然周计算）安排休息日不超过一日的原则。凡排班中出现同一人员单周休息日超过一天的，超出部分不得作为排班休息日扣除，应视作正常应出勤日纳入“应工作天数”基数进行核算，并相应核减该人员当月实际出勤天数，据此重新计算部门整体出勤率。</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4358F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每百分点</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FAB083">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260E6C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restart"/>
                  <w:tcBorders>
                    <w:top w:val="single" w:color="auto" w:sz="4" w:space="0"/>
                    <w:left w:val="single" w:color="000000" w:sz="4" w:space="0"/>
                    <w:bottom w:val="single" w:color="auto" w:sz="4" w:space="0"/>
                    <w:right w:val="single" w:color="000000" w:sz="4" w:space="0"/>
                  </w:tcBorders>
                  <w:tcMar>
                    <w:top w:w="0" w:type="dxa"/>
                    <w:left w:w="105" w:type="dxa"/>
                    <w:bottom w:w="0" w:type="dxa"/>
                    <w:right w:w="105" w:type="dxa"/>
                  </w:tcMar>
                  <w:vAlign w:val="center"/>
                </w:tcPr>
                <w:p w14:paraId="4BAE4EF5">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膳食质量</w:t>
                  </w:r>
                </w:p>
              </w:tc>
              <w:tc>
                <w:tcPr>
                  <w:tcW w:w="464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EA4E2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未按时开膳而影响采购人正常就餐</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F44986">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DFC9D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5</w:t>
                  </w:r>
                </w:p>
              </w:tc>
            </w:tr>
            <w:tr w14:paraId="179B67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000000" w:sz="4" w:space="0"/>
                  </w:tcBorders>
                  <w:vAlign w:val="center"/>
                </w:tcPr>
                <w:p w14:paraId="3642AC0B">
                  <w:pPr>
                    <w:spacing w:line="360" w:lineRule="auto"/>
                    <w:jc w:val="center"/>
                    <w:rPr>
                      <w:rFonts w:hint="eastAsia" w:ascii="仿宋" w:hAnsi="仿宋" w:eastAsia="仿宋" w:cs="仿宋"/>
                      <w:sz w:val="21"/>
                      <w:szCs w:val="21"/>
                    </w:rPr>
                  </w:pPr>
                </w:p>
              </w:tc>
              <w:tc>
                <w:tcPr>
                  <w:tcW w:w="4640" w:type="dxa"/>
                  <w:tcBorders>
                    <w:top w:val="nil"/>
                    <w:left w:val="nil"/>
                    <w:bottom w:val="single" w:color="auto" w:sz="4" w:space="0"/>
                    <w:right w:val="single" w:color="000000" w:sz="4" w:space="0"/>
                  </w:tcBorders>
                  <w:tcMar>
                    <w:top w:w="0" w:type="dxa"/>
                    <w:left w:w="105" w:type="dxa"/>
                    <w:bottom w:w="0" w:type="dxa"/>
                    <w:right w:w="105" w:type="dxa"/>
                  </w:tcMar>
                  <w:vAlign w:val="center"/>
                </w:tcPr>
                <w:p w14:paraId="27720D1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饭菜汤不够未能及时补上</w:t>
                  </w:r>
                </w:p>
              </w:tc>
              <w:tc>
                <w:tcPr>
                  <w:tcW w:w="1208" w:type="dxa"/>
                  <w:tcBorders>
                    <w:top w:val="nil"/>
                    <w:left w:val="nil"/>
                    <w:bottom w:val="single" w:color="auto" w:sz="4" w:space="0"/>
                    <w:right w:val="single" w:color="000000" w:sz="4" w:space="0"/>
                  </w:tcBorders>
                  <w:tcMar>
                    <w:top w:w="0" w:type="dxa"/>
                    <w:left w:w="105" w:type="dxa"/>
                    <w:bottom w:w="0" w:type="dxa"/>
                    <w:right w:w="105" w:type="dxa"/>
                  </w:tcMar>
                  <w:vAlign w:val="center"/>
                </w:tcPr>
                <w:p w14:paraId="60DEB54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nil"/>
                    <w:left w:val="nil"/>
                    <w:bottom w:val="single" w:color="auto" w:sz="4" w:space="0"/>
                    <w:right w:val="single" w:color="000000" w:sz="4" w:space="0"/>
                  </w:tcBorders>
                  <w:tcMar>
                    <w:top w:w="0" w:type="dxa"/>
                    <w:left w:w="105" w:type="dxa"/>
                    <w:bottom w:w="0" w:type="dxa"/>
                    <w:right w:w="105" w:type="dxa"/>
                  </w:tcMar>
                  <w:vAlign w:val="center"/>
                </w:tcPr>
                <w:p w14:paraId="18A01371">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1CCFD1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restart"/>
                  <w:tcBorders>
                    <w:top w:val="single" w:color="auto" w:sz="4" w:space="0"/>
                    <w:left w:val="single" w:color="000000" w:sz="4" w:space="0"/>
                    <w:bottom w:val="single" w:color="auto" w:sz="4" w:space="0"/>
                    <w:right w:val="single" w:color="auto" w:sz="4" w:space="0"/>
                  </w:tcBorders>
                  <w:tcMar>
                    <w:top w:w="0" w:type="dxa"/>
                    <w:left w:w="105" w:type="dxa"/>
                    <w:bottom w:w="0" w:type="dxa"/>
                    <w:right w:w="105" w:type="dxa"/>
                  </w:tcMar>
                  <w:vAlign w:val="center"/>
                </w:tcPr>
                <w:p w14:paraId="212339A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其它</w:t>
                  </w: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55FF70A">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采购人就餐人员投诉服务问题且属实的</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338BF07">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9D0114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7F3145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auto" w:sz="4" w:space="0"/>
                  </w:tcBorders>
                  <w:vAlign w:val="center"/>
                </w:tcPr>
                <w:p w14:paraId="65DBC0A9">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7582D40">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未按采购人要求执行临时开餐任务</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F505232">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6C50FEB">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w:t>
                  </w:r>
                </w:p>
              </w:tc>
            </w:tr>
            <w:tr w14:paraId="6CC950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auto" w:sz="4" w:space="0"/>
                  </w:tcBorders>
                  <w:vAlign w:val="center"/>
                </w:tcPr>
                <w:p w14:paraId="47BD4E64">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D775334">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未按规定时间进行问题整改或整改后仍未符合要求的</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7398558">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052DBE9">
                  <w:pPr>
                    <w:pStyle w:val="8"/>
                    <w:spacing w:line="360" w:lineRule="auto"/>
                    <w:jc w:val="center"/>
                    <w:rPr>
                      <w:rFonts w:hint="eastAsia" w:ascii="仿宋" w:hAnsi="仿宋" w:eastAsia="仿宋" w:cs="仿宋"/>
                      <w:sz w:val="21"/>
                      <w:szCs w:val="21"/>
                    </w:rPr>
                  </w:pPr>
                  <w:r>
                    <w:rPr>
                      <w:rFonts w:hint="eastAsia" w:ascii="仿宋" w:hAnsi="仿宋" w:eastAsia="仿宋" w:cs="仿宋"/>
                      <w:color w:val="000000"/>
                      <w:sz w:val="21"/>
                      <w:szCs w:val="21"/>
                    </w:rPr>
                    <w:t>10</w:t>
                  </w:r>
                </w:p>
              </w:tc>
            </w:tr>
            <w:tr w14:paraId="7587DC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auto" w:sz="4" w:space="0"/>
                  </w:tcBorders>
                  <w:vAlign w:val="center"/>
                </w:tcPr>
                <w:p w14:paraId="5F6DE2ED">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5B548E6">
                  <w:pPr>
                    <w:pStyle w:val="8"/>
                    <w:spacing w:line="360" w:lineRule="auto"/>
                    <w:jc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未按采购人要求执行其他服务要求的</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FC6B323">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388B66">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10</w:t>
                  </w:r>
                </w:p>
              </w:tc>
            </w:tr>
            <w:tr w14:paraId="617798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10" w:type="dxa"/>
                  <w:vMerge w:val="continue"/>
                  <w:tcBorders>
                    <w:top w:val="single" w:color="auto" w:sz="4" w:space="0"/>
                    <w:left w:val="single" w:color="000000" w:sz="4" w:space="0"/>
                    <w:bottom w:val="single" w:color="auto" w:sz="4" w:space="0"/>
                    <w:right w:val="single" w:color="auto" w:sz="4" w:space="0"/>
                  </w:tcBorders>
                  <w:vAlign w:val="center"/>
                </w:tcPr>
                <w:p w14:paraId="791C8334">
                  <w:pPr>
                    <w:spacing w:line="360" w:lineRule="auto"/>
                    <w:jc w:val="center"/>
                    <w:rPr>
                      <w:rFonts w:hint="eastAsia" w:ascii="仿宋" w:hAnsi="仿宋" w:eastAsia="仿宋" w:cs="仿宋"/>
                      <w:sz w:val="21"/>
                      <w:szCs w:val="21"/>
                    </w:rPr>
                  </w:pPr>
                </w:p>
              </w:tc>
              <w:tc>
                <w:tcPr>
                  <w:tcW w:w="464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E5AE344">
                  <w:pPr>
                    <w:pStyle w:val="8"/>
                    <w:spacing w:line="360" w:lineRule="auto"/>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出现安全隐患，包括但不限于：厨具使用后未及时关闭、设备运行作业期间无人值守、电气设备违规操作等</w:t>
                  </w:r>
                </w:p>
              </w:tc>
              <w:tc>
                <w:tcPr>
                  <w:tcW w:w="120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E1E22D8">
                  <w:pPr>
                    <w:pStyle w:val="8"/>
                    <w:spacing w:line="36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每项每次</w:t>
                  </w:r>
                </w:p>
              </w:tc>
              <w:tc>
                <w:tcPr>
                  <w:tcW w:w="84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29F4944">
                  <w:pPr>
                    <w:pStyle w:val="8"/>
                    <w:spacing w:line="360" w:lineRule="auto"/>
                    <w:jc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20</w:t>
                  </w:r>
                </w:p>
              </w:tc>
            </w:tr>
          </w:tbl>
          <w:p w14:paraId="0B0124C5">
            <w:pPr>
              <w:jc w:val="both"/>
              <w:rPr>
                <w:rFonts w:hint="eastAsia" w:ascii="黑体" w:hAnsi="黑体" w:eastAsia="黑体" w:cs="黑体"/>
                <w:b/>
                <w:bCs/>
                <w:color w:val="C00000"/>
                <w:sz w:val="28"/>
                <w:szCs w:val="28"/>
                <w:highlight w:val="none"/>
                <w:lang w:val="en-US" w:eastAsia="zh-CN"/>
              </w:rPr>
            </w:pPr>
          </w:p>
        </w:tc>
      </w:tr>
      <w:tr w14:paraId="48D96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23AC491C">
            <w:pPr>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8.5</w:t>
            </w:r>
          </w:p>
        </w:tc>
        <w:tc>
          <w:tcPr>
            <w:tcW w:w="7484" w:type="dxa"/>
            <w:tcBorders>
              <w:top w:val="nil"/>
              <w:left w:val="nil"/>
              <w:bottom w:val="nil"/>
              <w:right w:val="nil"/>
            </w:tcBorders>
            <w:vAlign w:val="center"/>
          </w:tcPr>
          <w:p w14:paraId="76ADA78D">
            <w:pPr>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rPr>
              <w:t>监督检查</w:t>
            </w:r>
          </w:p>
        </w:tc>
      </w:tr>
      <w:tr w14:paraId="5BBFB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27DCEF22">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8.5.1</w:t>
            </w:r>
          </w:p>
        </w:tc>
        <w:tc>
          <w:tcPr>
            <w:tcW w:w="7484" w:type="dxa"/>
            <w:tcBorders>
              <w:top w:val="nil"/>
              <w:left w:val="nil"/>
              <w:bottom w:val="nil"/>
              <w:right w:val="nil"/>
            </w:tcBorders>
            <w:vAlign w:val="center"/>
          </w:tcPr>
          <w:p w14:paraId="0D7B192F">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成交供应商的服务应接受采购人、食品药品监督等部门的监督检查，监督检查贯穿在成交供应商服务的全过程，包括以下项目：</w:t>
            </w:r>
          </w:p>
          <w:p w14:paraId="0C6883C5">
            <w:pPr>
              <w:numPr>
                <w:ilvl w:val="0"/>
                <w:numId w:val="4"/>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成交供应商雇请的食堂工作人员的身体健康情况监督，成交供应商雇请的食堂工作人员必须经过体检合格和出具无犯罪的记录证明，持有健康证、上岗证；</w:t>
            </w:r>
          </w:p>
          <w:p w14:paraId="00469E33">
            <w:pPr>
              <w:numPr>
                <w:ilvl w:val="0"/>
                <w:numId w:val="4"/>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菜式品种的数量监督，要求每顿供应的菜式必须达到合同约定的数量（采购人同意情况下，菜式数量可以减少）；</w:t>
            </w:r>
          </w:p>
          <w:p w14:paraId="7120BFA7">
            <w:pPr>
              <w:numPr>
                <w:ilvl w:val="0"/>
                <w:numId w:val="4"/>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产品的质量监督，成交供应商所制作的食品质量要求必须符合国家的卫生、安全标准。根据采购人就餐人数和经验积累，做到不留隔夜原料，不留隔餐制成品；</w:t>
            </w:r>
          </w:p>
          <w:p w14:paraId="3D2E31F8">
            <w:pPr>
              <w:numPr>
                <w:ilvl w:val="0"/>
                <w:numId w:val="4"/>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服务监督，成交供应商必须按采购人要求，提供优质服务，各顿膳食供应必须遵守约定时间，按时供应。</w:t>
            </w:r>
          </w:p>
        </w:tc>
      </w:tr>
      <w:tr w14:paraId="74DE24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center"/>
          </w:tcPr>
          <w:p w14:paraId="2952C443">
            <w:pPr>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8.6</w:t>
            </w:r>
          </w:p>
        </w:tc>
        <w:tc>
          <w:tcPr>
            <w:tcW w:w="7484" w:type="dxa"/>
            <w:tcBorders>
              <w:top w:val="nil"/>
              <w:left w:val="nil"/>
              <w:bottom w:val="nil"/>
              <w:right w:val="nil"/>
            </w:tcBorders>
            <w:vAlign w:val="center"/>
          </w:tcPr>
          <w:p w14:paraId="35E3CA97">
            <w:pPr>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退出机制</w:t>
            </w:r>
          </w:p>
        </w:tc>
      </w:tr>
      <w:tr w14:paraId="7005F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440D1B8D">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8.6.1</w:t>
            </w:r>
          </w:p>
        </w:tc>
        <w:tc>
          <w:tcPr>
            <w:tcW w:w="7484" w:type="dxa"/>
            <w:tcBorders>
              <w:top w:val="nil"/>
              <w:left w:val="nil"/>
              <w:bottom w:val="nil"/>
              <w:right w:val="nil"/>
            </w:tcBorders>
            <w:vAlign w:val="center"/>
          </w:tcPr>
          <w:p w14:paraId="076FBCAC">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成交供应商在服务期满后成交供应商必须无条件配合采购人和下一任成交供应商做好食堂各方面的交接工作，确保食堂工作平稳过渡。</w:t>
            </w:r>
          </w:p>
        </w:tc>
      </w:tr>
      <w:tr w14:paraId="626CBC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0" w:type="dxa"/>
            <w:tcBorders>
              <w:top w:val="nil"/>
              <w:left w:val="nil"/>
              <w:bottom w:val="nil"/>
              <w:right w:val="nil"/>
            </w:tcBorders>
            <w:vAlign w:val="top"/>
          </w:tcPr>
          <w:p w14:paraId="1CFCC85A">
            <w:pPr>
              <w:spacing w:line="360" w:lineRule="auto"/>
              <w:jc w:val="both"/>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8.6.2</w:t>
            </w:r>
          </w:p>
        </w:tc>
        <w:tc>
          <w:tcPr>
            <w:tcW w:w="7484" w:type="dxa"/>
            <w:tcBorders>
              <w:top w:val="nil"/>
              <w:left w:val="nil"/>
              <w:bottom w:val="nil"/>
              <w:right w:val="nil"/>
            </w:tcBorders>
            <w:vAlign w:val="center"/>
          </w:tcPr>
          <w:p w14:paraId="6D70ACE4">
            <w:pPr>
              <w:spacing w:line="36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成交供应商在服务期间出现下列情况之一者，采购人有权单方面无条件终止合同，责令成交供应商限期退出，且对所造成的损失保留追索的权利。</w:t>
            </w:r>
          </w:p>
          <w:p w14:paraId="40282DBF">
            <w:pPr>
              <w:numPr>
                <w:ilvl w:val="0"/>
                <w:numId w:val="5"/>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成交供应商营业执照或相关经营许可资格被吊销；</w:t>
            </w:r>
          </w:p>
          <w:p w14:paraId="501B9826">
            <w:pPr>
              <w:numPr>
                <w:ilvl w:val="0"/>
                <w:numId w:val="5"/>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拒绝接受采购人的监督检查；</w:t>
            </w:r>
          </w:p>
          <w:p w14:paraId="5F0C2873">
            <w:pPr>
              <w:numPr>
                <w:ilvl w:val="0"/>
                <w:numId w:val="5"/>
              </w:numPr>
              <w:spacing w:line="360" w:lineRule="auto"/>
              <w:ind w:firstLine="480" w:firstLineChars="2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对存在问题拒绝进行整改。</w:t>
            </w:r>
          </w:p>
        </w:tc>
      </w:tr>
    </w:tbl>
    <w:p w14:paraId="2B54C2C9">
      <w:pPr>
        <w:spacing w:line="360" w:lineRule="auto"/>
        <w:rPr>
          <w:rFonts w:hint="eastAsia" w:ascii="仿宋" w:hAnsi="仿宋" w:eastAsia="仿宋" w:cs="仿宋"/>
          <w:sz w:val="24"/>
        </w:rPr>
      </w:pPr>
    </w:p>
    <w:p w14:paraId="6C5114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41B832"/>
    <w:multiLevelType w:val="singleLevel"/>
    <w:tmpl w:val="A041B832"/>
    <w:lvl w:ilvl="0" w:tentative="0">
      <w:start w:val="1"/>
      <w:numFmt w:val="decimal"/>
      <w:suff w:val="nothing"/>
      <w:lvlText w:val="（%1）"/>
      <w:lvlJc w:val="left"/>
    </w:lvl>
  </w:abstractNum>
  <w:abstractNum w:abstractNumId="1">
    <w:nsid w:val="E8A41141"/>
    <w:multiLevelType w:val="singleLevel"/>
    <w:tmpl w:val="E8A41141"/>
    <w:lvl w:ilvl="0" w:tentative="0">
      <w:start w:val="1"/>
      <w:numFmt w:val="decimal"/>
      <w:suff w:val="nothing"/>
      <w:lvlText w:val="（%1）"/>
      <w:lvlJc w:val="left"/>
    </w:lvl>
  </w:abstractNum>
  <w:abstractNum w:abstractNumId="2">
    <w:nsid w:val="EF0F7B9D"/>
    <w:multiLevelType w:val="singleLevel"/>
    <w:tmpl w:val="EF0F7B9D"/>
    <w:lvl w:ilvl="0" w:tentative="0">
      <w:start w:val="1"/>
      <w:numFmt w:val="decimal"/>
      <w:suff w:val="nothing"/>
      <w:lvlText w:val="（%1）"/>
      <w:lvlJc w:val="left"/>
    </w:lvl>
  </w:abstractNum>
  <w:abstractNum w:abstractNumId="3">
    <w:nsid w:val="1F99C697"/>
    <w:multiLevelType w:val="singleLevel"/>
    <w:tmpl w:val="1F99C697"/>
    <w:lvl w:ilvl="0" w:tentative="0">
      <w:start w:val="1"/>
      <w:numFmt w:val="decimal"/>
      <w:suff w:val="nothing"/>
      <w:lvlText w:val="（%1）"/>
      <w:lvlJc w:val="left"/>
    </w:lvl>
  </w:abstractNum>
  <w:abstractNum w:abstractNumId="4">
    <w:nsid w:val="422250F0"/>
    <w:multiLevelType w:val="singleLevel"/>
    <w:tmpl w:val="422250F0"/>
    <w:lvl w:ilvl="0" w:tentative="0">
      <w:start w:val="1"/>
      <w:numFmt w:val="decimal"/>
      <w:suff w:val="nothing"/>
      <w:lvlText w:val="（%1）"/>
      <w:lvlJc w:val="left"/>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CC4301"/>
    <w:rsid w:val="4CCC4301"/>
    <w:rsid w:val="777F7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3"/>
    <w:basedOn w:val="1"/>
    <w:qFormat/>
    <w:uiPriority w:val="0"/>
    <w:pPr>
      <w:spacing w:after="120"/>
      <w:ind w:left="420" w:leftChars="200"/>
    </w:pPr>
    <w:rPr>
      <w:sz w:val="16"/>
      <w:szCs w:val="16"/>
    </w:rPr>
  </w:style>
  <w:style w:type="table" w:styleId="5">
    <w:name w:val="Table Grid"/>
    <w:basedOn w:val="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_Style 3"/>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2026-08-13T08:10:00Z</dcterms:created>
  <dc:creator>国晟招标</dc:creator>
  <cp:lastModifiedBy>国晟招标</cp:lastModifiedBy>
  <dcterms:modified xsi:type="dcterms:W3CDTF">2026-08-13T08:10:33Z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67D42554C9834809A222F137D07DD5FE_13</vt:lpwstr>
  </property>
  <property fmtid="{D5CDD505-2E9C-101B-9397-08002B2CF9AE}" pid="4" name="KSOTemplateDocerSaveRecord">
    <vt:lpwstr>eyJoZGlkIjoiYTNhMzQ2NDU2MTEwZjhkMGExOTU1MzU5NDZkYjdhNTMiLCJ1c2VySWQiOiI0MjQxNTk0NjQifQ==</vt:lpwstr>
  </property>
</Properties>
</file>